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560" w:lineRule="exact"/>
        <w:ind w:firstLine="2182" w:firstLineChars="494"/>
        <w:jc w:val="both"/>
        <w:rPr>
          <w:rFonts w:hint="eastAsia" w:ascii="仿宋" w:hAnsi="仿宋" w:eastAsia="仿宋" w:cs="仿宋"/>
          <w:b/>
          <w:sz w:val="44"/>
          <w:szCs w:val="44"/>
        </w:rPr>
      </w:pPr>
      <w:r>
        <w:rPr>
          <w:rFonts w:hint="eastAsia" w:ascii="仿宋" w:hAnsi="仿宋" w:eastAsia="仿宋" w:cs="仿宋"/>
          <w:b/>
          <w:sz w:val="44"/>
          <w:szCs w:val="44"/>
        </w:rPr>
        <w:t>长春林区法院2017年</w:t>
      </w:r>
      <w:r>
        <w:rPr>
          <w:rFonts w:hint="eastAsia" w:ascii="仿宋" w:hAnsi="仿宋" w:eastAsia="仿宋" w:cs="仿宋"/>
          <w:b/>
          <w:sz w:val="44"/>
          <w:szCs w:val="44"/>
          <w:lang w:eastAsia="zh-CN"/>
        </w:rPr>
        <w:t>度</w:t>
      </w:r>
    </w:p>
    <w:p>
      <w:pPr>
        <w:snapToGrid w:val="0"/>
        <w:spacing w:line="560" w:lineRule="exact"/>
        <w:ind w:firstLine="2209" w:firstLineChars="500"/>
        <w:jc w:val="both"/>
        <w:rPr>
          <w:rFonts w:hint="eastAsia" w:ascii="仿宋" w:hAnsi="仿宋" w:eastAsia="仿宋" w:cs="仿宋"/>
          <w:b/>
          <w:sz w:val="44"/>
          <w:szCs w:val="44"/>
        </w:rPr>
      </w:pPr>
      <w:r>
        <w:rPr>
          <w:rFonts w:hint="eastAsia" w:ascii="仿宋" w:hAnsi="仿宋" w:eastAsia="仿宋" w:cs="仿宋"/>
          <w:b/>
          <w:sz w:val="44"/>
          <w:szCs w:val="44"/>
        </w:rPr>
        <w:t>审判运行态势分析报告</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rPr>
        <w:t xml:space="preserve">    根据我院机关数字法院应用系统、数据集中管理平台、执行局提供的执行案件数据、民事庭提供的小额诉讼和简易程序数据、技术处提供的电子法院和科技法庭数据，五个基层院的审判运行态势分析报告，我们对2017年两级院审判执行工作情况进行了汇总分析。现报告如下：</w:t>
      </w:r>
    </w:p>
    <w:p>
      <w:pPr>
        <w:spacing w:line="520" w:lineRule="exact"/>
        <w:ind w:firstLine="643" w:firstLineChars="200"/>
        <w:rPr>
          <w:rFonts w:hint="eastAsia" w:ascii="仿宋" w:hAnsi="仿宋" w:eastAsia="仿宋" w:cs="仿宋"/>
          <w:b/>
        </w:rPr>
      </w:pPr>
      <w:r>
        <w:rPr>
          <w:rFonts w:hint="eastAsia" w:ascii="仿宋" w:hAnsi="仿宋" w:eastAsia="仿宋" w:cs="仿宋"/>
          <w:b/>
        </w:rPr>
        <w:t>一、两级法院案件总体情况</w:t>
      </w:r>
    </w:p>
    <w:p>
      <w:pPr>
        <w:spacing w:line="520" w:lineRule="exact"/>
        <w:ind w:firstLine="480" w:firstLineChars="150"/>
        <w:rPr>
          <w:rFonts w:hint="eastAsia" w:ascii="仿宋" w:hAnsi="仿宋" w:eastAsia="仿宋" w:cs="仿宋"/>
        </w:rPr>
      </w:pPr>
      <w:r>
        <w:rPr>
          <w:rFonts w:hint="eastAsia" w:ascii="仿宋" w:hAnsi="仿宋" w:eastAsia="仿宋" w:cs="仿宋"/>
        </w:rPr>
        <w:t>（一）两级法院收结案情况</w:t>
      </w:r>
    </w:p>
    <w:p>
      <w:pPr>
        <w:spacing w:line="520" w:lineRule="exact"/>
        <w:ind w:firstLine="640" w:firstLineChars="200"/>
        <w:rPr>
          <w:rFonts w:hint="eastAsia" w:ascii="仿宋" w:hAnsi="仿宋" w:eastAsia="仿宋" w:cs="仿宋"/>
        </w:rPr>
      </w:pPr>
      <w:r>
        <w:rPr>
          <w:rFonts w:hint="eastAsia" w:ascii="仿宋" w:hAnsi="仿宋" w:eastAsia="仿宋" w:cs="仿宋"/>
        </w:rPr>
        <w:t>2017年长春林区两级法院共受理各类案件1089件。其中，旧存77件,</w:t>
      </w:r>
      <w:r>
        <w:rPr>
          <w:rFonts w:hint="eastAsia" w:ascii="仿宋" w:hAnsi="仿宋" w:eastAsia="仿宋" w:cs="仿宋"/>
          <w:color w:val="000000" w:themeColor="text1"/>
        </w:rPr>
        <w:t>较去年同期</w:t>
      </w:r>
      <w:r>
        <w:rPr>
          <w:rFonts w:hint="eastAsia" w:ascii="仿宋" w:hAnsi="仿宋" w:eastAsia="仿宋" w:cs="仿宋"/>
        </w:rPr>
        <w:t>下降41件，同比下降34.75%;新收1064件，</w:t>
      </w:r>
      <w:r>
        <w:rPr>
          <w:rFonts w:hint="eastAsia" w:ascii="仿宋" w:hAnsi="仿宋" w:eastAsia="仿宋" w:cs="仿宋"/>
          <w:color w:val="000000" w:themeColor="text1"/>
        </w:rPr>
        <w:t>较去年同期</w:t>
      </w:r>
      <w:r>
        <w:rPr>
          <w:rFonts w:hint="eastAsia" w:ascii="仿宋" w:hAnsi="仿宋" w:eastAsia="仿宋" w:cs="仿宋"/>
        </w:rPr>
        <w:t>下降85件，同比下降7.4%；审执结1089件，</w:t>
      </w:r>
      <w:r>
        <w:rPr>
          <w:rFonts w:hint="eastAsia" w:ascii="仿宋" w:hAnsi="仿宋" w:eastAsia="仿宋" w:cs="仿宋"/>
          <w:color w:val="000000" w:themeColor="text1"/>
        </w:rPr>
        <w:t>较去年同期</w:t>
      </w:r>
      <w:r>
        <w:rPr>
          <w:rFonts w:hint="eastAsia" w:ascii="仿宋" w:hAnsi="仿宋" w:eastAsia="仿宋" w:cs="仿宋"/>
        </w:rPr>
        <w:t xml:space="preserve">下降101件，同比下降8.49%；结案率95.44%,同比上升1.52个百分点。 </w:t>
      </w:r>
    </w:p>
    <w:p>
      <w:pPr>
        <w:spacing w:line="240" w:lineRule="auto"/>
        <w:ind w:firstLine="0" w:firstLineChars="0"/>
        <w:rPr>
          <w:rFonts w:hint="eastAsia" w:ascii="仿宋" w:hAnsi="仿宋" w:eastAsia="仿宋" w:cs="仿宋"/>
        </w:rPr>
      </w:pPr>
      <w:r>
        <w:rPr>
          <w:rFonts w:hint="eastAsia" w:ascii="仿宋" w:hAnsi="仿宋" w:eastAsia="仿宋" w:cs="仿宋"/>
          <w:lang w:eastAsia="zh-CN"/>
        </w:rPr>
        <w:drawing>
          <wp:anchor distT="0" distB="0" distL="114300" distR="114300" simplePos="0" relativeHeight="251658240" behindDoc="0" locked="0" layoutInCell="1" allowOverlap="1">
            <wp:simplePos x="0" y="0"/>
            <wp:positionH relativeFrom="column">
              <wp:posOffset>174625</wp:posOffset>
            </wp:positionH>
            <wp:positionV relativeFrom="paragraph">
              <wp:posOffset>261620</wp:posOffset>
            </wp:positionV>
            <wp:extent cx="5123180" cy="2694305"/>
            <wp:effectExtent l="4445" t="4445" r="15875" b="635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s="仿宋"/>
          <w:sz w:val="32"/>
        </w:rPr>
        <w:pict>
          <v:shape id="_x0000_s1033" o:spid="_x0000_s1033" o:spt="202" type="#_x0000_t202" style="position:absolute;left:0pt;margin-left:340.55pt;margin-top:152.45pt;height:28.05pt;width:45pt;z-index:251706368;mso-width-relative:page;mso-height-relative:page;" filled="f" stroked="f" coordsize="21600,21600">
            <v:path/>
            <v:fill on="f" focussize="0,0"/>
            <v:stroke on="f" weight="1.25pt"/>
            <v:imagedata o:title=""/>
            <o:lock v:ext="edit" aspectratio="f"/>
            <v:textbox>
              <w:txbxContent>
                <w:p>
                  <w:pPr>
                    <w:rPr>
                      <w:rFonts w:hint="eastAsia" w:eastAsia="仿宋_GB2312"/>
                      <w:sz w:val="18"/>
                      <w:szCs w:val="18"/>
                      <w:lang w:val="en-US" w:eastAsia="zh-CN"/>
                    </w:rPr>
                  </w:pPr>
                  <w:r>
                    <w:rPr>
                      <w:rFonts w:hint="eastAsia"/>
                      <w:sz w:val="18"/>
                      <w:szCs w:val="18"/>
                      <w:lang w:val="en-US" w:eastAsia="zh-CN"/>
                    </w:rPr>
                    <w:t>8.12%</w:t>
                  </w:r>
                </w:p>
              </w:txbxContent>
            </v:textbox>
          </v:shape>
        </w:pict>
      </w:r>
      <w:r>
        <w:rPr>
          <w:rFonts w:hint="eastAsia" w:ascii="仿宋" w:hAnsi="仿宋" w:eastAsia="仿宋" w:cs="仿宋"/>
          <w:sz w:val="32"/>
        </w:rPr>
        <w:pict>
          <v:shape id="_x0000_s1030" o:spid="_x0000_s1030" o:spt="202" type="#_x0000_t202" style="position:absolute;left:0pt;margin-left:62.7pt;margin-top:151.95pt;height:28.05pt;width:45pt;z-index:251659264;mso-width-relative:page;mso-height-relative:page;" filled="f" stroked="f" coordsize="21600,21600">
            <v:path/>
            <v:fill on="f" focussize="0,0"/>
            <v:stroke on="f" weight="1.25pt"/>
            <v:imagedata o:title=""/>
            <o:lock v:ext="edit" aspectratio="f"/>
            <v:textbox>
              <w:txbxContent>
                <w:p>
                  <w:pPr>
                    <w:rPr>
                      <w:rFonts w:hint="eastAsia" w:eastAsia="仿宋_GB2312"/>
                      <w:sz w:val="18"/>
                      <w:szCs w:val="18"/>
                      <w:lang w:val="en-US" w:eastAsia="zh-CN"/>
                    </w:rPr>
                  </w:pPr>
                  <w:r>
                    <w:rPr>
                      <w:rFonts w:hint="eastAsia"/>
                      <w:sz w:val="18"/>
                      <w:szCs w:val="18"/>
                      <w:lang w:val="en-US" w:eastAsia="zh-CN"/>
                    </w:rPr>
                    <w:t>34.75%</w:t>
                  </w:r>
                </w:p>
              </w:txbxContent>
            </v:textbox>
          </v:shape>
        </w:pict>
      </w:r>
      <w:r>
        <w:rPr>
          <w:rFonts w:hint="eastAsia" w:ascii="仿宋" w:hAnsi="仿宋" w:eastAsia="仿宋" w:cs="仿宋"/>
          <w:sz w:val="32"/>
        </w:rPr>
        <w:pict>
          <v:shape id="_x0000_s1031" o:spid="_x0000_s1031" o:spt="202" type="#_x0000_t202" style="position:absolute;left:0pt;margin-left:160.55pt;margin-top:66.2pt;height:28.05pt;width:45pt;z-index:251669504;mso-width-relative:page;mso-height-relative:page;" filled="f" stroked="f" coordsize="21600,21600">
            <v:path/>
            <v:fill on="f" focussize="0,0"/>
            <v:stroke on="f" weight="1.25pt"/>
            <v:imagedata o:title=""/>
            <o:lock v:ext="edit" aspectratio="f"/>
            <v:textbox>
              <w:txbxContent>
                <w:p>
                  <w:pPr>
                    <w:rPr>
                      <w:rFonts w:hint="eastAsia" w:eastAsia="仿宋_GB2312"/>
                      <w:sz w:val="18"/>
                      <w:szCs w:val="18"/>
                      <w:lang w:val="en-US" w:eastAsia="zh-CN"/>
                    </w:rPr>
                  </w:pPr>
                  <w:r>
                    <w:rPr>
                      <w:rFonts w:hint="eastAsia"/>
                      <w:sz w:val="18"/>
                      <w:szCs w:val="18"/>
                      <w:lang w:val="en-US" w:eastAsia="zh-CN"/>
                    </w:rPr>
                    <w:t>7.4%</w:t>
                  </w:r>
                </w:p>
              </w:txbxContent>
            </v:textbox>
          </v:shape>
        </w:pict>
      </w:r>
      <w:r>
        <w:rPr>
          <w:rFonts w:hint="eastAsia" w:ascii="仿宋" w:hAnsi="仿宋" w:eastAsia="仿宋" w:cs="仿宋"/>
          <w:sz w:val="32"/>
        </w:rPr>
        <w:pict>
          <v:shape id="_x0000_s1027" o:spid="_x0000_s1027" o:spt="94" type="#_x0000_t94" style="position:absolute;left:0pt;margin-left:164.05pt;margin-top:95.75pt;height:8.85pt;width:25.9pt;rotation:1507328f;z-index:251661312;mso-width-relative:page;mso-height-relative:page;" fillcolor="#00B050" filled="t" stroked="t" coordsize="21600,21600" adj="16200,5400">
            <v:path/>
            <v:fill on="t" color2="#BBD5F0" focussize="0,0"/>
            <v:stroke weight="1.25pt" color="#739CC3"/>
            <v:imagedata o:title=""/>
            <o:lock v:ext="edit" aspectratio="f"/>
          </v:shape>
        </w:pict>
      </w:r>
      <w:r>
        <w:rPr>
          <w:rFonts w:hint="eastAsia" w:ascii="仿宋" w:hAnsi="仿宋" w:eastAsia="仿宋" w:cs="仿宋"/>
          <w:sz w:val="32"/>
        </w:rPr>
        <w:pict>
          <v:shape id="_x0000_s1032" o:spid="_x0000_s1032" o:spt="202" type="#_x0000_t202" style="position:absolute;left:0pt;margin-left:250.55pt;margin-top:64.7pt;height:28.05pt;width:45pt;z-index:251681792;mso-width-relative:page;mso-height-relative:page;" filled="f" stroked="f" coordsize="21600,21600">
            <v:path/>
            <v:fill on="f" focussize="0,0"/>
            <v:stroke on="f" weight="1.25pt"/>
            <v:imagedata o:title=""/>
            <o:lock v:ext="edit" aspectratio="f"/>
            <v:textbox>
              <w:txbxContent>
                <w:p>
                  <w:pPr>
                    <w:rPr>
                      <w:rFonts w:hint="eastAsia" w:eastAsia="仿宋_GB2312"/>
                      <w:sz w:val="18"/>
                      <w:szCs w:val="18"/>
                      <w:lang w:val="en-US" w:eastAsia="zh-CN"/>
                    </w:rPr>
                  </w:pPr>
                  <w:r>
                    <w:rPr>
                      <w:rFonts w:hint="eastAsia"/>
                      <w:sz w:val="18"/>
                      <w:szCs w:val="18"/>
                      <w:lang w:val="en-US" w:eastAsia="zh-CN"/>
                    </w:rPr>
                    <w:t>8.49%</w:t>
                  </w:r>
                </w:p>
              </w:txbxContent>
            </v:textbox>
          </v:shape>
        </w:pict>
      </w:r>
      <w:r>
        <w:rPr>
          <w:rFonts w:hint="eastAsia" w:ascii="仿宋" w:hAnsi="仿宋" w:eastAsia="仿宋" w:cs="仿宋"/>
          <w:sz w:val="32"/>
        </w:rPr>
        <w:pict>
          <v:shape id="_x0000_s1026" o:spid="_x0000_s1026" o:spt="94" type="#_x0000_t94" style="position:absolute;left:0pt;margin-left:255.85pt;margin-top:93.65pt;height:8.85pt;width:25.9pt;rotation:1507328f;z-index:251659264;mso-width-relative:page;mso-height-relative:page;" fillcolor="#00B050" filled="t" stroked="t" coordsize="21600,21600" adj="16200,5400">
            <v:path/>
            <v:fill on="t" color2="#BBD5F0" focussize="0,0"/>
            <v:stroke weight="1.25pt" color="#739CC3" joinstyle="miter"/>
            <v:imagedata o:title=""/>
            <o:lock v:ext="edit" aspectratio="f"/>
          </v:shape>
        </w:pict>
      </w:r>
      <w:r>
        <w:rPr>
          <w:rFonts w:hint="eastAsia" w:ascii="仿宋" w:hAnsi="仿宋" w:eastAsia="仿宋" w:cs="仿宋"/>
          <w:sz w:val="32"/>
        </w:rPr>
        <w:pict>
          <v:shape id="_x0000_s1028" o:spid="_x0000_s1028" o:spt="94" type="#_x0000_t94" style="position:absolute;left:0pt;margin-left:70.9pt;margin-top:181.8pt;height:8.85pt;width:25.9pt;rotation:1507328f;z-index:251665408;mso-width-relative:page;mso-height-relative:page;" fillcolor="#00B050" filled="t" stroked="t" coordsize="21600,21600" adj="16200,5400">
            <v:path/>
            <v:fill on="t" color2="#BBD5F0" focussize="0,0"/>
            <v:stroke weight="1.25pt" color="#739CC3"/>
            <v:imagedata o:title=""/>
            <o:lock v:ext="edit" aspectratio="f"/>
          </v:shape>
        </w:pict>
      </w:r>
      <w:r>
        <w:rPr>
          <w:rFonts w:hint="eastAsia" w:ascii="仿宋" w:hAnsi="仿宋" w:eastAsia="仿宋" w:cs="仿宋"/>
          <w:sz w:val="32"/>
        </w:rPr>
        <w:pict>
          <v:shape id="_x0000_s1029" o:spid="_x0000_s1029" o:spt="94" type="#_x0000_t94" style="position:absolute;left:0pt;margin-left:347.65pt;margin-top:183.15pt;height:8.85pt;width:25.9pt;rotation:1507328f;z-index:251667456;mso-width-relative:page;mso-height-relative:page;" fillcolor="#00B050" filled="t" stroked="t" coordsize="21600,21600" adj="16200,5400">
            <v:path/>
            <v:fill on="t" color2="#BBD5F0" focussize="0,0"/>
            <v:stroke weight="1.25pt" color="#739CC3"/>
            <v:imagedata o:title=""/>
            <o:lock v:ext="edit" aspectratio="f"/>
          </v:shape>
        </w:pict>
      </w:r>
    </w:p>
    <w:p>
      <w:pPr>
        <w:spacing w:line="520" w:lineRule="exact"/>
        <w:ind w:firstLine="640" w:firstLineChars="200"/>
        <w:rPr>
          <w:rFonts w:hint="eastAsia" w:ascii="仿宋" w:hAnsi="仿宋" w:eastAsia="仿宋" w:cs="仿宋"/>
        </w:rPr>
      </w:pPr>
    </w:p>
    <w:p>
      <w:pPr>
        <w:spacing w:line="520" w:lineRule="exact"/>
        <w:ind w:firstLine="640" w:firstLineChars="200"/>
        <w:rPr>
          <w:rFonts w:hint="eastAsia" w:ascii="仿宋" w:hAnsi="仿宋" w:eastAsia="仿宋" w:cs="仿宋"/>
        </w:rPr>
      </w:pPr>
    </w:p>
    <w:p>
      <w:pPr>
        <w:spacing w:line="520" w:lineRule="exact"/>
        <w:ind w:firstLine="480" w:firstLineChars="150"/>
        <w:rPr>
          <w:rFonts w:hint="eastAsia" w:ascii="仿宋" w:hAnsi="仿宋" w:eastAsia="仿宋" w:cs="仿宋"/>
        </w:rPr>
      </w:pPr>
      <w:r>
        <w:rPr>
          <w:rFonts w:hint="eastAsia" w:ascii="仿宋" w:hAnsi="仿宋" w:eastAsia="仿宋" w:cs="仿宋"/>
        </w:rPr>
        <w:t>（二）两级法院新收案件情况</w:t>
      </w:r>
    </w:p>
    <w:p>
      <w:pPr>
        <w:spacing w:line="520" w:lineRule="exact"/>
        <w:ind w:firstLine="640" w:firstLineChars="200"/>
        <w:rPr>
          <w:rFonts w:hint="eastAsia" w:ascii="仿宋" w:hAnsi="仿宋" w:eastAsia="仿宋" w:cs="仿宋"/>
        </w:rPr>
      </w:pPr>
      <w:r>
        <w:rPr>
          <w:rFonts w:hint="eastAsia" w:ascii="仿宋" w:hAnsi="仿宋" w:eastAsia="仿宋" w:cs="仿宋"/>
          <w:color w:val="000000"/>
        </w:rPr>
        <w:t>1、案</w:t>
      </w:r>
      <w:r>
        <w:rPr>
          <w:rFonts w:hint="eastAsia" w:ascii="仿宋" w:hAnsi="仿宋" w:eastAsia="仿宋" w:cs="仿宋"/>
        </w:rPr>
        <w:t>件类型</w:t>
      </w:r>
    </w:p>
    <w:p>
      <w:pPr>
        <w:spacing w:line="520" w:lineRule="exact"/>
        <w:ind w:firstLine="640" w:firstLineChars="200"/>
        <w:rPr>
          <w:rFonts w:hint="eastAsia" w:ascii="仿宋" w:hAnsi="仿宋" w:eastAsia="仿宋" w:cs="仿宋"/>
        </w:rPr>
      </w:pPr>
      <w:r>
        <w:rPr>
          <w:rFonts w:hint="eastAsia" w:ascii="仿宋" w:hAnsi="仿宋" w:eastAsia="仿宋" w:cs="仿宋"/>
        </w:rPr>
        <w:t>2017年长春林区两级法院新收案件类型出现多样化态势。新收刑事案件186件，</w:t>
      </w:r>
      <w:r>
        <w:rPr>
          <w:rFonts w:hint="eastAsia" w:ascii="仿宋" w:hAnsi="仿宋" w:eastAsia="仿宋" w:cs="仿宋"/>
          <w:color w:val="000000" w:themeColor="text1"/>
        </w:rPr>
        <w:t>较去年同期</w:t>
      </w:r>
      <w:r>
        <w:rPr>
          <w:rFonts w:hint="eastAsia" w:ascii="仿宋" w:hAnsi="仿宋" w:eastAsia="仿宋" w:cs="仿宋"/>
        </w:rPr>
        <w:t>下降28件，同比下降13.08%；新收民事案件613件，</w:t>
      </w:r>
      <w:r>
        <w:rPr>
          <w:rFonts w:hint="eastAsia" w:ascii="仿宋" w:hAnsi="仿宋" w:eastAsia="仿宋" w:cs="仿宋"/>
          <w:color w:val="000000" w:themeColor="text1"/>
        </w:rPr>
        <w:t>较去年同期</w:t>
      </w:r>
      <w:r>
        <w:rPr>
          <w:rFonts w:hint="eastAsia" w:ascii="仿宋" w:hAnsi="仿宋" w:eastAsia="仿宋" w:cs="仿宋"/>
        </w:rPr>
        <w:t>下降23件，同比下降3.62%；新收执行案件244件，</w:t>
      </w:r>
      <w:r>
        <w:rPr>
          <w:rFonts w:hint="eastAsia" w:ascii="仿宋" w:hAnsi="仿宋" w:eastAsia="仿宋" w:cs="仿宋"/>
          <w:color w:val="000000" w:themeColor="text1"/>
        </w:rPr>
        <w:t>较去年同期</w:t>
      </w:r>
      <w:r>
        <w:rPr>
          <w:rFonts w:hint="eastAsia" w:ascii="仿宋" w:hAnsi="仿宋" w:eastAsia="仿宋" w:cs="仿宋"/>
        </w:rPr>
        <w:t>下降23件，同比下降8.61%；新收行政案件4件，</w:t>
      </w:r>
      <w:r>
        <w:rPr>
          <w:rFonts w:hint="eastAsia" w:ascii="仿宋" w:hAnsi="仿宋" w:eastAsia="仿宋" w:cs="仿宋"/>
          <w:color w:val="000000" w:themeColor="text1"/>
        </w:rPr>
        <w:t>较去年同期</w:t>
      </w:r>
      <w:r>
        <w:rPr>
          <w:rFonts w:hint="eastAsia" w:ascii="仿宋" w:hAnsi="仿宋" w:eastAsia="仿宋" w:cs="仿宋"/>
        </w:rPr>
        <w:t>上升3件，同比上升300%；新收再审审查与审判监督案件19件，较去年同期上升11件，同比上升137.5%；新收司法制裁案件1件，同比上升100%；新收国家赔偿案件1件，同比上升100%。</w:t>
      </w:r>
      <w:r>
        <w:rPr>
          <w:rFonts w:hint="eastAsia" w:ascii="仿宋" w:hAnsi="仿宋" w:eastAsia="仿宋" w:cs="仿宋"/>
        </w:rPr>
        <w:t xml:space="preserve"> </w:t>
      </w:r>
    </w:p>
    <w:p>
      <w:pPr>
        <w:spacing w:line="520" w:lineRule="exact"/>
        <w:ind w:firstLine="640" w:firstLineChars="200"/>
        <w:rPr>
          <w:rFonts w:hint="eastAsia" w:ascii="仿宋" w:hAnsi="仿宋" w:eastAsia="仿宋" w:cs="仿宋"/>
          <w:lang w:eastAsia="zh-CN"/>
        </w:rPr>
      </w:pPr>
      <w:r>
        <w:rPr>
          <w:rFonts w:hint="eastAsia" w:ascii="仿宋" w:hAnsi="仿宋" w:eastAsia="仿宋" w:cs="仿宋"/>
          <w:lang w:eastAsia="zh-CN"/>
        </w:rPr>
        <w:drawing>
          <wp:anchor distT="0" distB="0" distL="114300" distR="114300" simplePos="0" relativeHeight="251659264" behindDoc="0" locked="0" layoutInCell="1" allowOverlap="1">
            <wp:simplePos x="0" y="0"/>
            <wp:positionH relativeFrom="column">
              <wp:posOffset>86995</wp:posOffset>
            </wp:positionH>
            <wp:positionV relativeFrom="paragraph">
              <wp:posOffset>169545</wp:posOffset>
            </wp:positionV>
            <wp:extent cx="5443220" cy="4237355"/>
            <wp:effectExtent l="4445" t="4445" r="19685" b="635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520" w:lineRule="exact"/>
        <w:ind w:firstLine="640" w:firstLineChars="200"/>
        <w:rPr>
          <w:rFonts w:hint="eastAsia" w:ascii="仿宋" w:hAnsi="仿宋" w:eastAsia="仿宋" w:cs="仿宋"/>
          <w:color w:val="000000" w:themeColor="text1"/>
        </w:rPr>
      </w:pPr>
      <w:r>
        <w:rPr>
          <w:rFonts w:hint="eastAsia" w:ascii="仿宋" w:hAnsi="仿宋" w:eastAsia="仿宋" w:cs="仿宋"/>
          <w:color w:val="000000" w:themeColor="text1"/>
        </w:rPr>
        <w:t>2、法院层级及审级</w:t>
      </w:r>
    </w:p>
    <w:p>
      <w:pPr>
        <w:spacing w:line="520" w:lineRule="exact"/>
        <w:ind w:firstLine="640" w:firstLineChars="200"/>
        <w:rPr>
          <w:rFonts w:hint="eastAsia" w:ascii="仿宋" w:hAnsi="仿宋" w:eastAsia="仿宋" w:cs="仿宋"/>
        </w:rPr>
      </w:pPr>
      <w:r>
        <w:rPr>
          <w:rFonts w:hint="eastAsia" w:ascii="仿宋" w:hAnsi="仿宋" w:eastAsia="仿宋" w:cs="仿宋"/>
        </w:rPr>
        <w:t>2017年中院新收77件，</w:t>
      </w:r>
      <w:r>
        <w:rPr>
          <w:rFonts w:hint="eastAsia" w:ascii="仿宋" w:hAnsi="仿宋" w:eastAsia="仿宋" w:cs="仿宋"/>
          <w:color w:val="000000" w:themeColor="text1"/>
        </w:rPr>
        <w:t>较去年同期</w:t>
      </w:r>
      <w:r>
        <w:rPr>
          <w:rFonts w:hint="eastAsia" w:ascii="仿宋" w:hAnsi="仿宋" w:eastAsia="仿宋" w:cs="仿宋"/>
        </w:rPr>
        <w:t>下降23件，同比下降23%，各基层院共新收987件，</w:t>
      </w:r>
      <w:r>
        <w:rPr>
          <w:rFonts w:hint="eastAsia" w:ascii="仿宋" w:hAnsi="仿宋" w:eastAsia="仿宋" w:cs="仿宋"/>
          <w:color w:val="000000" w:themeColor="text1"/>
        </w:rPr>
        <w:t>较去年同期</w:t>
      </w:r>
      <w:r>
        <w:rPr>
          <w:rFonts w:hint="eastAsia" w:ascii="仿宋" w:hAnsi="仿宋" w:eastAsia="仿宋" w:cs="仿宋"/>
        </w:rPr>
        <w:t>下降62件，同比下降5.91%。</w:t>
      </w:r>
    </w:p>
    <w:p>
      <w:pPr>
        <w:spacing w:line="520" w:lineRule="exact"/>
        <w:ind w:firstLine="640" w:firstLineChars="200"/>
        <w:rPr>
          <w:rFonts w:hint="eastAsia" w:ascii="仿宋" w:hAnsi="仿宋" w:eastAsia="仿宋" w:cs="仿宋"/>
        </w:rPr>
      </w:pPr>
      <w:r>
        <w:rPr>
          <w:rFonts w:hint="eastAsia" w:ascii="仿宋" w:hAnsi="仿宋" w:eastAsia="仿宋" w:cs="仿宋"/>
        </w:rPr>
        <w:t>3、各基层院新收案件情况</w:t>
      </w:r>
    </w:p>
    <w:p>
      <w:pPr>
        <w:spacing w:line="520" w:lineRule="exact"/>
        <w:ind w:firstLine="640" w:firstLineChars="200"/>
        <w:rPr>
          <w:rFonts w:hint="eastAsia" w:ascii="仿宋" w:hAnsi="仿宋" w:eastAsia="仿宋" w:cs="仿宋"/>
        </w:rPr>
      </w:pPr>
      <w:r>
        <w:rPr>
          <w:rFonts w:hint="eastAsia" w:ascii="仿宋" w:hAnsi="仿宋" w:eastAsia="仿宋" w:cs="仿宋"/>
          <w:color w:val="000000" w:themeColor="text1"/>
        </w:rPr>
        <w:t>白石山院新收100件，较去年同期下降89件，同比下降47.1%；红石院新收400件，较去年同期上升206件，同比上升106.2%；江源院新收142件，较去年同期下降52件，同比下降26.8%；临江院新收134件，较去年同期</w:t>
      </w:r>
      <w:r>
        <w:rPr>
          <w:rFonts w:hint="eastAsia" w:ascii="仿宋" w:hAnsi="仿宋" w:eastAsia="仿宋" w:cs="仿宋"/>
        </w:rPr>
        <w:t>下降6件，同比下降4.3%；抚松院新收211件，</w:t>
      </w:r>
      <w:r>
        <w:rPr>
          <w:rFonts w:hint="eastAsia" w:ascii="仿宋" w:hAnsi="仿宋" w:eastAsia="仿宋" w:cs="仿宋"/>
          <w:color w:val="000000" w:themeColor="text1"/>
        </w:rPr>
        <w:t>较去年同期</w:t>
      </w:r>
      <w:r>
        <w:rPr>
          <w:rFonts w:hint="eastAsia" w:ascii="仿宋" w:hAnsi="仿宋" w:eastAsia="仿宋" w:cs="仿宋"/>
        </w:rPr>
        <w:t>下降121件，同比下降36.44%。</w:t>
      </w:r>
    </w:p>
    <w:p>
      <w:pPr>
        <w:spacing w:line="520" w:lineRule="exact"/>
        <w:ind w:firstLine="640" w:firstLineChars="200"/>
        <w:rPr>
          <w:rFonts w:hint="eastAsia" w:ascii="仿宋" w:hAnsi="仿宋" w:eastAsia="仿宋" w:cs="仿宋"/>
        </w:rPr>
      </w:pPr>
      <w:r>
        <w:rPr>
          <w:rFonts w:hint="eastAsia" w:ascii="仿宋" w:hAnsi="仿宋" w:eastAsia="仿宋" w:cs="仿宋"/>
          <w:lang w:eastAsia="zh-CN"/>
        </w:rPr>
        <w:drawing>
          <wp:anchor distT="0" distB="0" distL="114300" distR="114300" simplePos="0" relativeHeight="251660288" behindDoc="0" locked="0" layoutInCell="1" allowOverlap="1">
            <wp:simplePos x="0" y="0"/>
            <wp:positionH relativeFrom="column">
              <wp:posOffset>87630</wp:posOffset>
            </wp:positionH>
            <wp:positionV relativeFrom="paragraph">
              <wp:posOffset>182880</wp:posOffset>
            </wp:positionV>
            <wp:extent cx="5346065" cy="3810000"/>
            <wp:effectExtent l="4445" t="4445" r="21590" b="1460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s="仿宋"/>
        </w:rPr>
        <w:t>（三）两级法院结案情况</w:t>
      </w:r>
    </w:p>
    <w:p>
      <w:pPr>
        <w:spacing w:line="520" w:lineRule="exact"/>
        <w:ind w:firstLine="640" w:firstLineChars="200"/>
        <w:rPr>
          <w:rFonts w:hint="eastAsia" w:ascii="仿宋" w:hAnsi="仿宋" w:eastAsia="仿宋" w:cs="仿宋"/>
        </w:rPr>
      </w:pPr>
      <w:r>
        <w:rPr>
          <w:rFonts w:hint="eastAsia" w:ascii="仿宋" w:hAnsi="仿宋" w:eastAsia="仿宋" w:cs="仿宋"/>
        </w:rPr>
        <w:t>1、案件类型</w:t>
      </w:r>
    </w:p>
    <w:p>
      <w:pPr>
        <w:spacing w:line="520" w:lineRule="exact"/>
        <w:ind w:firstLine="640" w:firstLineChars="200"/>
        <w:rPr>
          <w:rFonts w:hint="eastAsia" w:ascii="仿宋" w:hAnsi="仿宋" w:eastAsia="仿宋" w:cs="仿宋"/>
        </w:rPr>
      </w:pPr>
      <w:r>
        <w:rPr>
          <w:rFonts w:hint="eastAsia" w:ascii="仿宋" w:hAnsi="仿宋" w:eastAsia="仿宋" w:cs="仿宋"/>
        </w:rPr>
        <w:t>2017年度长春林区两级法院各类型案件的结案率与去年同期相比基本持平，全年基本实现均衡结案。民事案件审结637件，</w:t>
      </w:r>
      <w:r>
        <w:rPr>
          <w:rFonts w:hint="eastAsia" w:ascii="仿宋" w:hAnsi="仿宋" w:eastAsia="仿宋" w:cs="仿宋"/>
          <w:color w:val="000000" w:themeColor="text1"/>
        </w:rPr>
        <w:t>较去年同期</w:t>
      </w:r>
      <w:r>
        <w:rPr>
          <w:rFonts w:hint="eastAsia" w:ascii="仿宋" w:hAnsi="仿宋" w:eastAsia="仿宋" w:cs="仿宋"/>
        </w:rPr>
        <w:t>下降36件，同比下降5.35%，结案率为95.79%，同比下降1.59个百分点；刑事案件审结185件，</w:t>
      </w:r>
      <w:r>
        <w:rPr>
          <w:rFonts w:hint="eastAsia" w:ascii="仿宋" w:hAnsi="仿宋" w:eastAsia="仿宋" w:cs="仿宋"/>
          <w:color w:val="000000" w:themeColor="text1"/>
        </w:rPr>
        <w:t>较去年同期</w:t>
      </w:r>
      <w:r>
        <w:rPr>
          <w:rFonts w:hint="eastAsia" w:ascii="仿宋" w:hAnsi="仿宋" w:eastAsia="仿宋" w:cs="仿宋"/>
        </w:rPr>
        <w:t>下降38件，同比下降17.04%，结案率为96.35%，同比下降1.03个百分点；执行案件执结246件，</w:t>
      </w:r>
      <w:r>
        <w:rPr>
          <w:rFonts w:hint="eastAsia" w:ascii="仿宋" w:hAnsi="仿宋" w:eastAsia="仿宋" w:cs="仿宋"/>
          <w:color w:val="000000" w:themeColor="text1"/>
        </w:rPr>
        <w:t>较去年同期</w:t>
      </w:r>
      <w:r>
        <w:rPr>
          <w:rFonts w:hint="eastAsia" w:ascii="仿宋" w:hAnsi="仿宋" w:eastAsia="仿宋" w:cs="仿宋"/>
        </w:rPr>
        <w:t>下降16件，同比下降6.1%，执结率为93.54%，同比上升0.3个百分点。行政案件审结4件，较去年同期上升3件，同比上升300%，结案率为100%,与去年同期持平。再审审查与审判监督案件审结10件，较去年同期上升2件，同比上升25%，结案率为52.63%，同比下降47.37个百分点。审结1件司法制裁案件，1件国家赔偿案件。</w:t>
      </w:r>
    </w:p>
    <w:p>
      <w:pPr>
        <w:spacing w:line="520" w:lineRule="exact"/>
        <w:ind w:firstLine="640" w:firstLineChars="200"/>
        <w:rPr>
          <w:rFonts w:hint="eastAsia" w:ascii="仿宋" w:hAnsi="仿宋" w:eastAsia="仿宋" w:cs="仿宋"/>
        </w:rPr>
      </w:pPr>
      <w:r>
        <w:rPr>
          <w:rFonts w:hint="eastAsia" w:ascii="仿宋" w:hAnsi="仿宋" w:eastAsia="仿宋" w:cs="仿宋"/>
          <w:lang w:eastAsia="zh-CN"/>
        </w:rPr>
        <w:drawing>
          <wp:anchor distT="0" distB="0" distL="114300" distR="114300" simplePos="0" relativeHeight="251661312" behindDoc="0" locked="0" layoutInCell="1" allowOverlap="1">
            <wp:simplePos x="0" y="0"/>
            <wp:positionH relativeFrom="column">
              <wp:posOffset>191770</wp:posOffset>
            </wp:positionH>
            <wp:positionV relativeFrom="paragraph">
              <wp:posOffset>69215</wp:posOffset>
            </wp:positionV>
            <wp:extent cx="5346065" cy="3818890"/>
            <wp:effectExtent l="4445" t="4445" r="21590" b="5715"/>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s="仿宋"/>
        </w:rPr>
        <w:t>2、法院层级及审级</w:t>
      </w:r>
    </w:p>
    <w:p>
      <w:pPr>
        <w:spacing w:line="520" w:lineRule="exact"/>
        <w:ind w:firstLine="640" w:firstLineChars="200"/>
        <w:rPr>
          <w:rFonts w:hint="eastAsia" w:ascii="仿宋" w:hAnsi="仿宋" w:eastAsia="仿宋" w:cs="仿宋"/>
          <w:color w:val="FF0000"/>
        </w:rPr>
      </w:pPr>
      <w:r>
        <w:rPr>
          <w:rFonts w:hint="eastAsia" w:ascii="仿宋" w:hAnsi="仿宋" w:eastAsia="仿宋" w:cs="仿宋"/>
        </w:rPr>
        <w:t>2017年中院审执结80件，</w:t>
      </w:r>
      <w:r>
        <w:rPr>
          <w:rFonts w:hint="eastAsia" w:ascii="仿宋" w:hAnsi="仿宋" w:eastAsia="仿宋" w:cs="仿宋"/>
          <w:color w:val="000000" w:themeColor="text1"/>
        </w:rPr>
        <w:t>较去年同期</w:t>
      </w:r>
      <w:r>
        <w:rPr>
          <w:rFonts w:hint="eastAsia" w:ascii="仿宋" w:hAnsi="仿宋" w:eastAsia="仿宋" w:cs="仿宋"/>
        </w:rPr>
        <w:t>下降15件，同比下降15.79%，结案率为96.39%,同比上升2.33个百分点；各基层院共审结1009件，</w:t>
      </w:r>
      <w:r>
        <w:rPr>
          <w:rFonts w:hint="eastAsia" w:ascii="仿宋" w:hAnsi="仿宋" w:eastAsia="仿宋" w:cs="仿宋"/>
          <w:color w:val="000000" w:themeColor="text1"/>
        </w:rPr>
        <w:t>较去年同期</w:t>
      </w:r>
      <w:r>
        <w:rPr>
          <w:rFonts w:hint="eastAsia" w:ascii="仿宋" w:hAnsi="仿宋" w:eastAsia="仿宋" w:cs="仿宋"/>
        </w:rPr>
        <w:t>下降86件，同比下降7.85%。</w:t>
      </w:r>
    </w:p>
    <w:p>
      <w:pPr>
        <w:spacing w:line="520" w:lineRule="exact"/>
        <w:ind w:firstLine="640" w:firstLineChars="200"/>
        <w:rPr>
          <w:rFonts w:hint="eastAsia" w:ascii="仿宋" w:hAnsi="仿宋" w:eastAsia="仿宋" w:cs="仿宋"/>
        </w:rPr>
      </w:pPr>
      <w:r>
        <w:rPr>
          <w:rFonts w:hint="eastAsia" w:ascii="仿宋" w:hAnsi="仿宋" w:eastAsia="仿宋" w:cs="仿宋"/>
        </w:rPr>
        <w:t>３、各基层院已结案件情况</w:t>
      </w:r>
    </w:p>
    <w:p>
      <w:pPr>
        <w:spacing w:line="520" w:lineRule="exact"/>
        <w:ind w:firstLine="640" w:firstLineChars="200"/>
        <w:rPr>
          <w:rFonts w:hint="eastAsia" w:ascii="仿宋" w:hAnsi="仿宋" w:eastAsia="仿宋" w:cs="仿宋"/>
        </w:rPr>
      </w:pPr>
      <w:r>
        <w:rPr>
          <w:rFonts w:hint="eastAsia" w:ascii="仿宋" w:hAnsi="仿宋" w:eastAsia="仿宋" w:cs="仿宋"/>
          <w:sz w:val="32"/>
        </w:rPr>
        <w:pict>
          <v:shape id="_x0000_s1070" o:spid="_x0000_s1070" o:spt="202" type="#_x0000_t202" style="position:absolute;left:0pt;margin-left:138.4pt;margin-top:245.6pt;height:30.7pt;width:246.7pt;z-index:252240896;mso-width-relative:page;mso-height-relative:page;" fillcolor="#FFFFFF" filled="t" stroked="f" coordsize="21600,21600">
            <v:path/>
            <v:fill type="gradient" on="t" color2="#FFFFFF" angle="90" focus="0%" focussize="0f,0f" focusposition="0f,0f">
              <o:fill type="gradientUnscaled" v:ext="backwardCompatible"/>
            </v:fill>
            <v:stroke on="f" weight="1.25pt"/>
            <v:imagedata o:title=""/>
            <o:lock v:ext="edit" aspectratio="f"/>
            <v:textbox>
              <w:txbxContent>
                <w:p>
                  <w:pPr>
                    <w:rPr>
                      <w:rFonts w:hint="eastAsia" w:eastAsia="仿宋_GB2312"/>
                      <w:lang w:eastAsia="zh-CN"/>
                    </w:rPr>
                  </w:pPr>
                  <w:r>
                    <w:rPr>
                      <w:rFonts w:hint="eastAsia"/>
                      <w:lang w:eastAsia="zh-CN"/>
                    </w:rPr>
                    <w:t>各院结案率情况对比</w:t>
                  </w:r>
                </w:p>
              </w:txbxContent>
            </v:textbox>
          </v:shape>
        </w:pict>
      </w:r>
      <w:r>
        <w:rPr>
          <w:rFonts w:hint="eastAsia" w:ascii="仿宋" w:hAnsi="仿宋" w:eastAsia="仿宋" w:cs="仿宋"/>
        </w:rPr>
        <w:t>各基层院已结案件中</w:t>
      </w:r>
      <w:r>
        <w:rPr>
          <w:rFonts w:hint="eastAsia" w:ascii="仿宋" w:hAnsi="仿宋" w:eastAsia="仿宋" w:cs="仿宋"/>
          <w:color w:val="000000" w:themeColor="text1"/>
        </w:rPr>
        <w:t>，白石山院审执结110件，较去年同期</w:t>
      </w:r>
      <w:r>
        <w:rPr>
          <w:rFonts w:hint="eastAsia" w:ascii="仿宋" w:hAnsi="仿宋" w:eastAsia="仿宋" w:cs="仿宋"/>
        </w:rPr>
        <w:t>下降75件，同比下降40.54%，</w:t>
      </w:r>
      <w:r>
        <w:rPr>
          <w:rFonts w:hint="eastAsia" w:ascii="仿宋" w:hAnsi="仿宋" w:eastAsia="仿宋" w:cs="仿宋"/>
          <w:color w:val="000000" w:themeColor="text1"/>
        </w:rPr>
        <w:t>结案率为95.65%,同比上升3.15个百分点。红石院审执结389件，较去年同期上升190件，同比上升95.48%；结案率为93.96%,同比上升0.53个百分点。</w:t>
      </w:r>
      <w:r>
        <w:rPr>
          <w:rFonts w:hint="eastAsia" w:ascii="仿宋" w:hAnsi="仿宋" w:eastAsia="仿宋" w:cs="仿宋"/>
        </w:rPr>
        <w:t>江源院审执结148件，</w:t>
      </w:r>
      <w:r>
        <w:rPr>
          <w:rFonts w:hint="eastAsia" w:ascii="仿宋" w:hAnsi="仿宋" w:eastAsia="仿宋" w:cs="仿宋"/>
          <w:color w:val="000000" w:themeColor="text1"/>
        </w:rPr>
        <w:t>较去年同期</w:t>
      </w:r>
      <w:r>
        <w:rPr>
          <w:rFonts w:hint="eastAsia" w:ascii="仿宋" w:hAnsi="仿宋" w:eastAsia="仿宋" w:cs="仿宋"/>
        </w:rPr>
        <w:t>下降55件，同比下降27.1%；结案率为98.01%,同比上升2.26个百分点。临江院审执结138件，</w:t>
      </w:r>
      <w:r>
        <w:rPr>
          <w:rFonts w:hint="eastAsia" w:ascii="仿宋" w:hAnsi="仿宋" w:eastAsia="仿宋" w:cs="仿宋"/>
          <w:color w:val="000000" w:themeColor="text1"/>
        </w:rPr>
        <w:t>较去年同期</w:t>
      </w:r>
      <w:r>
        <w:rPr>
          <w:rFonts w:hint="eastAsia" w:ascii="仿宋" w:hAnsi="仿宋" w:eastAsia="仿宋" w:cs="仿宋"/>
        </w:rPr>
        <w:t>下降9件，同比下降6.12%；结案率为95.17%,同比上升2.13个百分点。抚松院审执结224件，</w:t>
      </w:r>
      <w:r>
        <w:rPr>
          <w:rFonts w:hint="eastAsia" w:ascii="仿宋" w:hAnsi="仿宋" w:eastAsia="仿宋" w:cs="仿宋"/>
          <w:color w:val="000000" w:themeColor="text1"/>
        </w:rPr>
        <w:t>较去年同期</w:t>
      </w:r>
      <w:r>
        <w:rPr>
          <w:rFonts w:hint="eastAsia" w:ascii="仿宋" w:hAnsi="仿宋" w:eastAsia="仿宋" w:cs="仿宋"/>
        </w:rPr>
        <w:t>下降137件，同比下降37.95%；结案率为96.14%,同比上升1.89个百分点。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9280" w:firstLineChars="2900"/>
        <w:jc w:val="both"/>
        <w:textAlignment w:val="auto"/>
        <w:outlineLvl w:val="9"/>
        <w:rPr>
          <w:rFonts w:hint="eastAsia" w:ascii="仿宋" w:hAnsi="仿宋" w:eastAsia="仿宋" w:cs="仿宋"/>
        </w:rPr>
      </w:pPr>
      <w:r>
        <w:rPr>
          <w:rFonts w:hint="eastAsia" w:ascii="仿宋" w:hAnsi="仿宋" w:eastAsia="仿宋" w:cs="仿宋"/>
          <w:lang w:eastAsia="zh-CN"/>
        </w:rPr>
        <w:drawing>
          <wp:anchor distT="0" distB="0" distL="114300" distR="114300" simplePos="0" relativeHeight="251662336" behindDoc="0" locked="0" layoutInCell="1" allowOverlap="1">
            <wp:simplePos x="0" y="0"/>
            <wp:positionH relativeFrom="column">
              <wp:posOffset>-8255</wp:posOffset>
            </wp:positionH>
            <wp:positionV relativeFrom="paragraph">
              <wp:posOffset>287655</wp:posOffset>
            </wp:positionV>
            <wp:extent cx="5803900" cy="4368800"/>
            <wp:effectExtent l="0" t="0" r="0" b="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s="仿宋"/>
          <w:lang w:val="en-US" w:eastAsia="zh-CN"/>
        </w:rPr>
        <w:t xml:space="preserve">               </w:t>
      </w:r>
      <w:r>
        <w:rPr>
          <w:rFonts w:hint="eastAsia" w:ascii="仿宋" w:hAnsi="仿宋" w:eastAsia="仿宋" w:cs="仿宋"/>
        </w:rPr>
        <w:t>（四）两级法院未结案件情况</w:t>
      </w:r>
    </w:p>
    <w:p>
      <w:pPr>
        <w:spacing w:line="520" w:lineRule="exact"/>
        <w:ind w:firstLine="640" w:firstLineChars="200"/>
        <w:rPr>
          <w:rFonts w:hint="eastAsia" w:ascii="仿宋" w:hAnsi="仿宋" w:eastAsia="仿宋" w:cs="仿宋"/>
          <w:color w:val="000000"/>
        </w:rPr>
      </w:pPr>
      <w:r>
        <w:rPr>
          <w:rFonts w:hint="eastAsia" w:ascii="仿宋" w:hAnsi="仿宋" w:eastAsia="仿宋" w:cs="仿宋"/>
          <w:color w:val="000000"/>
        </w:rPr>
        <w:t>1、案件类型</w:t>
      </w:r>
    </w:p>
    <w:p>
      <w:pPr>
        <w:spacing w:line="520" w:lineRule="exact"/>
        <w:ind w:firstLine="640" w:firstLineChars="200"/>
        <w:rPr>
          <w:rFonts w:hint="eastAsia" w:ascii="仿宋" w:hAnsi="仿宋" w:eastAsia="仿宋" w:cs="仿宋"/>
        </w:rPr>
      </w:pPr>
      <w:r>
        <w:rPr>
          <w:rFonts w:hint="eastAsia" w:ascii="仿宋" w:hAnsi="仿宋" w:eastAsia="仿宋" w:cs="仿宋"/>
        </w:rPr>
        <w:t>2017年长春林区两级法院各类型案件的未结案件呈下降趋势，未结案件数为52件，</w:t>
      </w:r>
      <w:r>
        <w:rPr>
          <w:rFonts w:hint="eastAsia" w:ascii="仿宋" w:hAnsi="仿宋" w:eastAsia="仿宋" w:cs="仿宋"/>
          <w:color w:val="000000" w:themeColor="text1"/>
        </w:rPr>
        <w:t>较去年同期</w:t>
      </w:r>
      <w:r>
        <w:rPr>
          <w:rFonts w:hint="eastAsia" w:ascii="仿宋" w:hAnsi="仿宋" w:eastAsia="仿宋" w:cs="仿宋"/>
        </w:rPr>
        <w:t>下降25件，同比下降32.47%。其中刑事案件未结7件，</w:t>
      </w:r>
      <w:r>
        <w:rPr>
          <w:rFonts w:hint="eastAsia" w:ascii="仿宋" w:hAnsi="仿宋" w:eastAsia="仿宋" w:cs="仿宋"/>
          <w:color w:val="000000" w:themeColor="text1"/>
        </w:rPr>
        <w:t>较去年同期</w:t>
      </w:r>
      <w:r>
        <w:rPr>
          <w:rFonts w:hint="eastAsia" w:ascii="仿宋" w:hAnsi="仿宋" w:eastAsia="仿宋" w:cs="仿宋"/>
        </w:rPr>
        <w:t>上升1件，同比上升16.67%，民事案件未结28件，</w:t>
      </w:r>
      <w:r>
        <w:rPr>
          <w:rFonts w:hint="eastAsia" w:ascii="仿宋" w:hAnsi="仿宋" w:eastAsia="仿宋" w:cs="仿宋"/>
          <w:color w:val="000000" w:themeColor="text1"/>
        </w:rPr>
        <w:t>较去年同期</w:t>
      </w:r>
      <w:r>
        <w:rPr>
          <w:rFonts w:hint="eastAsia" w:ascii="仿宋" w:hAnsi="仿宋" w:eastAsia="仿宋" w:cs="仿宋"/>
        </w:rPr>
        <w:t>下降24件，同比下降46.15%，执行案件未结17件，</w:t>
      </w:r>
      <w:r>
        <w:rPr>
          <w:rFonts w:hint="eastAsia" w:ascii="仿宋" w:hAnsi="仿宋" w:eastAsia="仿宋" w:cs="仿宋"/>
          <w:color w:val="000000" w:themeColor="text1"/>
        </w:rPr>
        <w:t>较去年同期</w:t>
      </w:r>
      <w:r>
        <w:rPr>
          <w:rFonts w:hint="eastAsia" w:ascii="仿宋" w:hAnsi="仿宋" w:eastAsia="仿宋" w:cs="仿宋"/>
        </w:rPr>
        <w:t>下降2件，同比下降10.53 %。再审审查与审判监督案件未结9件，较去年同期上升9件。</w:t>
      </w:r>
    </w:p>
    <w:p>
      <w:pPr>
        <w:spacing w:line="520" w:lineRule="exact"/>
        <w:ind w:firstLine="640" w:firstLineChars="200"/>
        <w:rPr>
          <w:rFonts w:hint="eastAsia" w:ascii="仿宋" w:hAnsi="仿宋" w:eastAsia="仿宋" w:cs="仿宋"/>
        </w:rPr>
      </w:pPr>
      <w:r>
        <w:rPr>
          <w:rFonts w:hint="eastAsia" w:ascii="仿宋" w:hAnsi="仿宋" w:eastAsia="仿宋" w:cs="仿宋"/>
          <w:lang w:eastAsia="zh-CN"/>
        </w:rPr>
        <w:drawing>
          <wp:anchor distT="0" distB="0" distL="114300" distR="114300" simplePos="0" relativeHeight="251663360" behindDoc="0" locked="0" layoutInCell="1" allowOverlap="1">
            <wp:simplePos x="0" y="0"/>
            <wp:positionH relativeFrom="column">
              <wp:posOffset>201295</wp:posOffset>
            </wp:positionH>
            <wp:positionV relativeFrom="paragraph">
              <wp:posOffset>288290</wp:posOffset>
            </wp:positionV>
            <wp:extent cx="5365115" cy="3837940"/>
            <wp:effectExtent l="5080" t="4445" r="20955" b="571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s="仿宋"/>
        </w:rPr>
        <w:t>2、法院层级及审级</w:t>
      </w:r>
    </w:p>
    <w:p>
      <w:pPr>
        <w:spacing w:line="520" w:lineRule="exact"/>
        <w:ind w:firstLine="640" w:firstLineChars="200"/>
        <w:rPr>
          <w:rFonts w:hint="eastAsia" w:ascii="仿宋" w:hAnsi="仿宋" w:eastAsia="仿宋" w:cs="仿宋"/>
        </w:rPr>
      </w:pPr>
      <w:r>
        <w:rPr>
          <w:rFonts w:hint="eastAsia" w:ascii="仿宋" w:hAnsi="仿宋" w:eastAsia="仿宋" w:cs="仿宋"/>
        </w:rPr>
        <w:t>2017年中院未结3件，</w:t>
      </w:r>
      <w:r>
        <w:rPr>
          <w:rFonts w:hint="eastAsia" w:ascii="仿宋" w:hAnsi="仿宋" w:eastAsia="仿宋" w:cs="仿宋"/>
          <w:color w:val="000000" w:themeColor="text1"/>
        </w:rPr>
        <w:t>较去年同期</w:t>
      </w:r>
      <w:r>
        <w:rPr>
          <w:rFonts w:hint="eastAsia" w:ascii="仿宋" w:hAnsi="仿宋" w:eastAsia="仿宋" w:cs="仿宋"/>
        </w:rPr>
        <w:t>下降3件，同比下降50%，各基层院共未结49件，</w:t>
      </w:r>
      <w:r>
        <w:rPr>
          <w:rFonts w:hint="eastAsia" w:ascii="仿宋" w:hAnsi="仿宋" w:eastAsia="仿宋" w:cs="仿宋"/>
          <w:color w:val="000000" w:themeColor="text1"/>
        </w:rPr>
        <w:t>较去年同期</w:t>
      </w:r>
      <w:r>
        <w:rPr>
          <w:rFonts w:hint="eastAsia" w:ascii="仿宋" w:hAnsi="仿宋" w:eastAsia="仿宋" w:cs="仿宋"/>
        </w:rPr>
        <w:t>下降22件，同比下降30.99%。</w:t>
      </w:r>
    </w:p>
    <w:p>
      <w:pPr>
        <w:spacing w:line="520" w:lineRule="exact"/>
        <w:ind w:firstLine="640" w:firstLineChars="200"/>
        <w:rPr>
          <w:rFonts w:hint="eastAsia" w:ascii="仿宋" w:hAnsi="仿宋" w:eastAsia="仿宋" w:cs="仿宋"/>
        </w:rPr>
      </w:pPr>
    </w:p>
    <w:p>
      <w:pPr>
        <w:spacing w:line="520" w:lineRule="exact"/>
        <w:ind w:firstLine="640" w:firstLineChars="200"/>
        <w:rPr>
          <w:rFonts w:hint="eastAsia" w:ascii="仿宋" w:hAnsi="仿宋" w:eastAsia="仿宋" w:cs="仿宋"/>
        </w:rPr>
      </w:pPr>
      <w:r>
        <w:rPr>
          <w:rFonts w:hint="eastAsia" w:ascii="仿宋" w:hAnsi="仿宋" w:eastAsia="仿宋" w:cs="仿宋"/>
        </w:rPr>
        <w:t>3、各基层院未结案件情况</w:t>
      </w:r>
    </w:p>
    <w:p>
      <w:pPr>
        <w:spacing w:line="520" w:lineRule="exact"/>
        <w:ind w:firstLine="640" w:firstLineChars="200"/>
        <w:rPr>
          <w:rFonts w:hint="eastAsia" w:ascii="仿宋" w:hAnsi="仿宋" w:eastAsia="仿宋" w:cs="仿宋"/>
        </w:rPr>
      </w:pPr>
      <w:r>
        <w:rPr>
          <w:rFonts w:hint="eastAsia" w:ascii="仿宋" w:hAnsi="仿宋" w:eastAsia="仿宋" w:cs="仿宋"/>
        </w:rPr>
        <w:t>各基层院中，白石山院未结5件，</w:t>
      </w:r>
      <w:r>
        <w:rPr>
          <w:rFonts w:hint="eastAsia" w:ascii="仿宋" w:hAnsi="仿宋" w:eastAsia="仿宋" w:cs="仿宋"/>
          <w:color w:val="000000" w:themeColor="text1"/>
        </w:rPr>
        <w:t>较去年同期</w:t>
      </w:r>
      <w:r>
        <w:rPr>
          <w:rFonts w:hint="eastAsia" w:ascii="仿宋" w:hAnsi="仿宋" w:eastAsia="仿宋" w:cs="仿宋"/>
        </w:rPr>
        <w:t>下降10件，同比下降66.67%；</w:t>
      </w:r>
      <w:r>
        <w:rPr>
          <w:rFonts w:hint="eastAsia" w:ascii="仿宋" w:hAnsi="仿宋" w:eastAsia="仿宋" w:cs="仿宋"/>
          <w:color w:val="000000" w:themeColor="text1"/>
        </w:rPr>
        <w:t>红石院未结25件，较去年同期上升11件，同比上升78.57%；江</w:t>
      </w:r>
      <w:r>
        <w:rPr>
          <w:rFonts w:hint="eastAsia" w:ascii="仿宋" w:hAnsi="仿宋" w:eastAsia="仿宋" w:cs="仿宋"/>
        </w:rPr>
        <w:t>源院未结3件，</w:t>
      </w:r>
      <w:r>
        <w:rPr>
          <w:rFonts w:hint="eastAsia" w:ascii="仿宋" w:hAnsi="仿宋" w:eastAsia="仿宋" w:cs="仿宋"/>
          <w:color w:val="000000" w:themeColor="text1"/>
        </w:rPr>
        <w:t>较去年同期</w:t>
      </w:r>
      <w:r>
        <w:rPr>
          <w:rFonts w:hint="eastAsia" w:ascii="仿宋" w:hAnsi="仿宋" w:eastAsia="仿宋" w:cs="仿宋"/>
        </w:rPr>
        <w:t>下降6件，同比下降66.67%；临江院未结7件，</w:t>
      </w:r>
      <w:r>
        <w:rPr>
          <w:rFonts w:hint="eastAsia" w:ascii="仿宋" w:hAnsi="仿宋" w:eastAsia="仿宋" w:cs="仿宋"/>
          <w:color w:val="000000" w:themeColor="text1"/>
        </w:rPr>
        <w:t>较去年同期</w:t>
      </w:r>
      <w:r>
        <w:rPr>
          <w:rFonts w:hint="eastAsia" w:ascii="仿宋" w:hAnsi="仿宋" w:eastAsia="仿宋" w:cs="仿宋"/>
        </w:rPr>
        <w:t>下降4件，同比下降36.36%；抚松院未结9件，</w:t>
      </w:r>
      <w:r>
        <w:rPr>
          <w:rFonts w:hint="eastAsia" w:ascii="仿宋" w:hAnsi="仿宋" w:eastAsia="仿宋" w:cs="仿宋"/>
          <w:color w:val="000000" w:themeColor="text1"/>
        </w:rPr>
        <w:t>较去年同期</w:t>
      </w:r>
      <w:r>
        <w:rPr>
          <w:rFonts w:hint="eastAsia" w:ascii="仿宋" w:hAnsi="仿宋" w:eastAsia="仿宋" w:cs="仿宋"/>
        </w:rPr>
        <w:t>下降13件，同比下降59.1%。</w:t>
      </w:r>
    </w:p>
    <w:p>
      <w:pPr>
        <w:spacing w:line="520" w:lineRule="exact"/>
        <w:ind w:firstLine="640" w:firstLineChars="200"/>
        <w:rPr>
          <w:rFonts w:hint="eastAsia" w:ascii="仿宋" w:hAnsi="仿宋" w:eastAsia="仿宋" w:cs="仿宋"/>
          <w:b/>
        </w:rPr>
      </w:pPr>
      <w:r>
        <w:rPr>
          <w:rFonts w:hint="eastAsia" w:ascii="仿宋" w:hAnsi="仿宋" w:eastAsia="仿宋" w:cs="仿宋"/>
          <w:lang w:eastAsia="zh-CN"/>
        </w:rPr>
        <w:drawing>
          <wp:anchor distT="0" distB="0" distL="114300" distR="114300" simplePos="0" relativeHeight="251664384" behindDoc="0" locked="0" layoutInCell="1" allowOverlap="1">
            <wp:simplePos x="0" y="0"/>
            <wp:positionH relativeFrom="column">
              <wp:posOffset>163830</wp:posOffset>
            </wp:positionH>
            <wp:positionV relativeFrom="paragraph">
              <wp:posOffset>106680</wp:posOffset>
            </wp:positionV>
            <wp:extent cx="5279390" cy="3810000"/>
            <wp:effectExtent l="20955" t="20955" r="90805" b="74295"/>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s="仿宋"/>
          <w:b/>
        </w:rPr>
        <w:t>二、与案件质量相关的指标情况</w:t>
      </w:r>
    </w:p>
    <w:p>
      <w:pPr>
        <w:spacing w:line="520" w:lineRule="exact"/>
        <w:ind w:firstLine="640" w:firstLineChars="200"/>
        <w:rPr>
          <w:rFonts w:hint="eastAsia" w:ascii="仿宋" w:hAnsi="仿宋" w:eastAsia="仿宋" w:cs="仿宋"/>
        </w:rPr>
      </w:pPr>
      <w:r>
        <w:rPr>
          <w:rFonts w:hint="eastAsia" w:ascii="仿宋" w:hAnsi="仿宋" w:eastAsia="仿宋" w:cs="仿宋"/>
        </w:rPr>
        <w:t>（一）案件上诉情况</w:t>
      </w:r>
    </w:p>
    <w:p>
      <w:pPr>
        <w:snapToGrid w:val="0"/>
        <w:spacing w:line="500" w:lineRule="exact"/>
        <w:ind w:firstLine="640" w:firstLineChars="200"/>
        <w:rPr>
          <w:rFonts w:hint="eastAsia" w:ascii="仿宋" w:hAnsi="仿宋" w:eastAsia="仿宋" w:cs="仿宋"/>
        </w:rPr>
      </w:pPr>
      <w:r>
        <w:rPr>
          <w:rFonts w:hint="eastAsia" w:ascii="仿宋" w:hAnsi="仿宋" w:eastAsia="仿宋" w:cs="仿宋"/>
        </w:rPr>
        <w:t>2017年度两级法院一审上诉案件53件（白石山14件，临江9件，红石9件，抚松17件，江源4件），上诉率7.11%。（白石山上诉率17.72%，临江上诉率11.11%，抚松上诉率10.63%，红石上诉率2.76%，江源上诉率4.12%）</w:t>
      </w:r>
      <w:r>
        <w:rPr>
          <w:rFonts w:hint="eastAsia" w:ascii="仿宋" w:hAnsi="仿宋" w:eastAsia="仿宋" w:cs="仿宋"/>
          <w:lang w:eastAsia="zh-CN"/>
        </w:rPr>
        <w:t>（见图表一）</w:t>
      </w:r>
    </w:p>
    <w:p>
      <w:pPr>
        <w:spacing w:line="520" w:lineRule="exact"/>
        <w:ind w:firstLine="480" w:firstLineChars="150"/>
        <w:rPr>
          <w:rFonts w:hint="eastAsia" w:ascii="仿宋" w:hAnsi="仿宋" w:eastAsia="仿宋" w:cs="仿宋"/>
        </w:rPr>
      </w:pPr>
    </w:p>
    <w:p>
      <w:pPr>
        <w:spacing w:line="520" w:lineRule="exact"/>
        <w:ind w:firstLine="480" w:firstLineChars="150"/>
        <w:rPr>
          <w:rFonts w:hint="eastAsia" w:ascii="仿宋" w:hAnsi="仿宋" w:eastAsia="仿宋" w:cs="仿宋"/>
        </w:rPr>
      </w:pPr>
      <w:r>
        <w:rPr>
          <w:rFonts w:hint="eastAsia" w:ascii="仿宋" w:hAnsi="仿宋" w:eastAsia="仿宋" w:cs="仿宋"/>
        </w:rPr>
        <w:t>（二）案件发改情况</w:t>
      </w:r>
    </w:p>
    <w:p>
      <w:pPr>
        <w:spacing w:line="520" w:lineRule="exact"/>
        <w:ind w:firstLine="640" w:firstLineChars="200"/>
        <w:rPr>
          <w:rFonts w:hint="eastAsia" w:ascii="仿宋" w:hAnsi="仿宋" w:eastAsia="仿宋" w:cs="仿宋"/>
          <w:lang w:eastAsia="zh-CN"/>
        </w:rPr>
      </w:pPr>
      <w:r>
        <w:rPr>
          <w:rFonts w:hint="eastAsia" w:ascii="仿宋" w:hAnsi="仿宋" w:eastAsia="仿宋" w:cs="仿宋"/>
          <w:color w:val="000000" w:themeColor="text1"/>
        </w:rPr>
        <w:t>中院改判案件17件，分别为抚松8件（1件刑事、7件民事），临江2件（1件刑事、1件民事），白石山4件民事，红石2件（2件民事），中院1件刑事（此案为再审改判案件），二审案件改判率为26.15%，同比上升15.62个百分点；</w:t>
      </w:r>
      <w:r>
        <w:rPr>
          <w:rFonts w:hint="eastAsia" w:ascii="仿宋" w:hAnsi="仿宋" w:eastAsia="仿宋" w:cs="仿宋"/>
        </w:rPr>
        <w:t>发回重审案件6件，分别为抚松院5件（1件刑事、4件民事</w:t>
      </w:r>
      <w:r>
        <w:rPr>
          <w:rFonts w:hint="eastAsia" w:ascii="仿宋" w:hAnsi="仿宋" w:eastAsia="仿宋" w:cs="仿宋"/>
        </w:rPr>
        <w:t>）</w:t>
      </w:r>
      <w:r>
        <w:rPr>
          <w:rFonts w:hint="eastAsia" w:ascii="仿宋" w:hAnsi="仿宋" w:eastAsia="仿宋" w:cs="仿宋"/>
        </w:rPr>
        <w:t>，白石山1件(1件刑事)，二审案件发回率为9.23%，同比下降5.51个百分点；二审发改率为35.38%，同比上升10.12个百分点。（数据集中管理平台提取数据：年度一审案件上诉改判、发回重审率为2.29%，年度生效案件再审改判、发回重审率为0.12%；数字法院应用系统提取数据：中院二审改判12件，发回重审6件，共计18件，发改率为27.69%。）</w:t>
      </w:r>
      <w:r>
        <w:rPr>
          <w:rFonts w:hint="eastAsia" w:ascii="仿宋" w:hAnsi="仿宋" w:eastAsia="仿宋" w:cs="仿宋"/>
          <w:lang w:eastAsia="zh-CN"/>
        </w:rPr>
        <w:t>（见图表二）</w:t>
      </w:r>
    </w:p>
    <w:p>
      <w:pPr>
        <w:spacing w:line="520" w:lineRule="exact"/>
        <w:ind w:firstLine="640" w:firstLineChars="200"/>
        <w:rPr>
          <w:rFonts w:hint="eastAsia" w:ascii="仿宋" w:hAnsi="仿宋" w:eastAsia="仿宋" w:cs="仿宋"/>
          <w:lang w:eastAsia="zh-CN"/>
        </w:rPr>
      </w:pPr>
    </w:p>
    <w:p>
      <w:pPr>
        <w:spacing w:line="520" w:lineRule="exact"/>
        <w:ind w:firstLine="640" w:firstLineChars="200"/>
        <w:rPr>
          <w:rFonts w:hint="eastAsia" w:ascii="仿宋" w:hAnsi="仿宋" w:eastAsia="仿宋" w:cs="仿宋"/>
          <w:lang w:eastAsia="zh-CN"/>
        </w:rPr>
      </w:pPr>
    </w:p>
    <w:tbl>
      <w:tblPr>
        <w:tblStyle w:val="11"/>
        <w:tblpPr w:leftFromText="180" w:rightFromText="180" w:vertAnchor="text" w:horzAnchor="page" w:tblpXSpec="center" w:tblpY="128"/>
        <w:tblOverlap w:val="never"/>
        <w:tblW w:w="8342" w:type="dxa"/>
        <w:jc w:val="center"/>
        <w:tblInd w:w="-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47"/>
        <w:gridCol w:w="2021"/>
        <w:gridCol w:w="1751"/>
        <w:gridCol w:w="1676"/>
        <w:gridCol w:w="1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0" w:hRule="exact"/>
          <w:jc w:val="center"/>
        </w:trPr>
        <w:tc>
          <w:tcPr>
            <w:tcW w:w="947"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top"/>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序号</w:t>
            </w:r>
          </w:p>
        </w:tc>
        <w:tc>
          <w:tcPr>
            <w:tcW w:w="2021" w:type="dxa"/>
            <w:vMerge w:val="restart"/>
            <w:tcBorders>
              <w:top w:val="single" w:color="000000" w:sz="4" w:space="0"/>
              <w:right w:val="single" w:color="000000" w:sz="4" w:space="0"/>
            </w:tcBorders>
            <w:shd w:val="clear" w:color="auto" w:fill="FFFFFF"/>
            <w:vAlign w:val="center"/>
          </w:tcPr>
          <w:p>
            <w:pPr>
              <w:keepNext w:val="0"/>
              <w:keepLines w:val="0"/>
              <w:widowControl/>
              <w:suppressLineNumbers w:val="0"/>
              <w:jc w:val="center"/>
              <w:textAlignment w:val="top"/>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法院</w:t>
            </w:r>
          </w:p>
        </w:tc>
        <w:tc>
          <w:tcPr>
            <w:tcW w:w="1751" w:type="dxa"/>
            <w:vMerge w:val="restart"/>
            <w:tcBorders>
              <w:top w:val="single" w:color="000000" w:sz="4" w:space="0"/>
            </w:tcBorders>
            <w:shd w:val="clear" w:color="auto" w:fill="FFFFFF"/>
            <w:vAlign w:val="center"/>
          </w:tcPr>
          <w:p>
            <w:pPr>
              <w:keepNext w:val="0"/>
              <w:keepLines w:val="0"/>
              <w:widowControl/>
              <w:suppressLineNumbers w:val="0"/>
              <w:jc w:val="center"/>
              <w:textAlignment w:val="top"/>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一审</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已结</w:t>
            </w:r>
          </w:p>
        </w:tc>
        <w:tc>
          <w:tcPr>
            <w:tcW w:w="36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一审已结案件中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exact"/>
          <w:jc w:val="center"/>
        </w:trPr>
        <w:tc>
          <w:tcPr>
            <w:tcW w:w="947"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top"/>
              <w:rPr>
                <w:rFonts w:hint="eastAsia" w:ascii="仿宋" w:hAnsi="仿宋" w:eastAsia="仿宋" w:cs="仿宋"/>
                <w:b/>
                <w:i w:val="0"/>
                <w:color w:val="000000"/>
                <w:sz w:val="20"/>
                <w:szCs w:val="20"/>
                <w:u w:val="none"/>
              </w:rPr>
            </w:pPr>
          </w:p>
        </w:tc>
        <w:tc>
          <w:tcPr>
            <w:tcW w:w="2021" w:type="dxa"/>
            <w:vMerge w:val="continue"/>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top"/>
              <w:rPr>
                <w:rFonts w:hint="eastAsia" w:ascii="仿宋" w:hAnsi="仿宋" w:eastAsia="仿宋" w:cs="仿宋"/>
                <w:b/>
                <w:i w:val="0"/>
                <w:color w:val="000000"/>
                <w:sz w:val="20"/>
                <w:szCs w:val="20"/>
                <w:u w:val="none"/>
              </w:rPr>
            </w:pPr>
          </w:p>
        </w:tc>
        <w:tc>
          <w:tcPr>
            <w:tcW w:w="1751" w:type="dxa"/>
            <w:vMerge w:val="continue"/>
            <w:tcBorders>
              <w:bottom w:val="single" w:color="000000" w:sz="4" w:space="0"/>
            </w:tcBorders>
            <w:shd w:val="clear" w:color="auto" w:fill="FFFFFF"/>
            <w:vAlign w:val="center"/>
          </w:tcPr>
          <w:p>
            <w:pPr>
              <w:keepNext w:val="0"/>
              <w:keepLines w:val="0"/>
              <w:widowControl/>
              <w:suppressLineNumbers w:val="0"/>
              <w:jc w:val="center"/>
              <w:textAlignment w:val="top"/>
              <w:rPr>
                <w:rFonts w:hint="eastAsia" w:ascii="仿宋" w:hAnsi="仿宋" w:eastAsia="仿宋" w:cs="仿宋"/>
                <w:b/>
                <w:i w:val="0"/>
                <w:color w:val="000000"/>
                <w:sz w:val="20"/>
                <w:szCs w:val="20"/>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上诉</w:t>
            </w: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上诉率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exact"/>
          <w:jc w:val="center"/>
        </w:trPr>
        <w:tc>
          <w:tcPr>
            <w:tcW w:w="94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202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长春林区中级法院</w:t>
            </w:r>
          </w:p>
        </w:tc>
        <w:tc>
          <w:tcPr>
            <w:tcW w:w="1751"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w:t>
            </w: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exact"/>
          <w:jc w:val="center"/>
        </w:trPr>
        <w:tc>
          <w:tcPr>
            <w:tcW w:w="94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202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白石山林区基层法院</w:t>
            </w:r>
          </w:p>
        </w:tc>
        <w:tc>
          <w:tcPr>
            <w:tcW w:w="1751"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w:t>
            </w:r>
          </w:p>
        </w:tc>
        <w:tc>
          <w:tcPr>
            <w:tcW w:w="1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w:t>
            </w: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exact"/>
          <w:jc w:val="center"/>
        </w:trPr>
        <w:tc>
          <w:tcPr>
            <w:tcW w:w="94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202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红石林区基层法院</w:t>
            </w:r>
          </w:p>
        </w:tc>
        <w:tc>
          <w:tcPr>
            <w:tcW w:w="1751"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326</w:t>
            </w:r>
          </w:p>
        </w:tc>
        <w:tc>
          <w:tcPr>
            <w:tcW w:w="1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w:t>
            </w: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exact"/>
          <w:jc w:val="center"/>
        </w:trPr>
        <w:tc>
          <w:tcPr>
            <w:tcW w:w="94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202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临江林区基层法院</w:t>
            </w:r>
          </w:p>
        </w:tc>
        <w:tc>
          <w:tcPr>
            <w:tcW w:w="1751"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w:t>
            </w:r>
          </w:p>
        </w:tc>
        <w:tc>
          <w:tcPr>
            <w:tcW w:w="1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w:t>
            </w: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exact"/>
          <w:jc w:val="center"/>
        </w:trPr>
        <w:tc>
          <w:tcPr>
            <w:tcW w:w="94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202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抚松林区基层法院</w:t>
            </w:r>
          </w:p>
        </w:tc>
        <w:tc>
          <w:tcPr>
            <w:tcW w:w="1751"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160</w:t>
            </w:r>
          </w:p>
        </w:tc>
        <w:tc>
          <w:tcPr>
            <w:tcW w:w="1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w:t>
            </w: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exact"/>
          <w:jc w:val="center"/>
        </w:trPr>
        <w:tc>
          <w:tcPr>
            <w:tcW w:w="94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w:t>
            </w:r>
          </w:p>
        </w:tc>
        <w:tc>
          <w:tcPr>
            <w:tcW w:w="202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江源林区基层法院</w:t>
            </w:r>
          </w:p>
        </w:tc>
        <w:tc>
          <w:tcPr>
            <w:tcW w:w="1751"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97</w:t>
            </w:r>
          </w:p>
        </w:tc>
        <w:tc>
          <w:tcPr>
            <w:tcW w:w="1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exact"/>
          <w:jc w:val="center"/>
        </w:trPr>
        <w:tc>
          <w:tcPr>
            <w:tcW w:w="2968"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总计</w:t>
            </w:r>
          </w:p>
        </w:tc>
        <w:tc>
          <w:tcPr>
            <w:tcW w:w="1751"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745</w:t>
            </w:r>
          </w:p>
        </w:tc>
        <w:tc>
          <w:tcPr>
            <w:tcW w:w="1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53</w:t>
            </w: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7.11%</w:t>
            </w:r>
          </w:p>
        </w:tc>
      </w:tr>
    </w:tbl>
    <w:p>
      <w:pPr>
        <w:spacing w:line="520" w:lineRule="exact"/>
        <w:jc w:val="center"/>
        <w:rPr>
          <w:rFonts w:hint="eastAsia" w:ascii="仿宋" w:hAnsi="仿宋" w:eastAsia="仿宋" w:cs="仿宋"/>
          <w:lang w:eastAsia="zh-CN"/>
        </w:rPr>
      </w:pPr>
    </w:p>
    <w:p>
      <w:pPr>
        <w:spacing w:line="520" w:lineRule="exact"/>
        <w:jc w:val="center"/>
        <w:rPr>
          <w:rFonts w:hint="eastAsia" w:ascii="仿宋" w:hAnsi="仿宋" w:eastAsia="仿宋" w:cs="仿宋"/>
          <w:lang w:eastAsia="zh-CN"/>
        </w:rPr>
      </w:pPr>
      <w:r>
        <w:rPr>
          <w:rFonts w:hint="eastAsia" w:ascii="仿宋" w:hAnsi="仿宋" w:eastAsia="仿宋" w:cs="仿宋"/>
          <w:sz w:val="32"/>
        </w:rPr>
        <w:pict>
          <v:shape id="_x0000_s1042" o:spid="_x0000_s1042" o:spt="202" type="#_x0000_t202" style="position:absolute;left:0pt;flip:x y;margin-left:175.2pt;margin-top:234.3pt;height:6pt;width:10.45pt;z-index:251714560;mso-width-relative:page;mso-height-relative:page;" filled="f" stroked="f" coordsize="21600,21600">
            <v:path/>
            <v:fill on="f" focussize="0,0"/>
            <v:stroke on="f" weight="1.25pt"/>
            <v:imagedata o:title=""/>
            <o:lock v:ext="edit" aspectratio="f"/>
            <v:textbox>
              <w:txbxContent>
                <w:p>
                  <w:pPr>
                    <w:rPr>
                      <w:rFonts w:hint="eastAsia" w:eastAsia="仿宋_GB2312"/>
                      <w:sz w:val="28"/>
                      <w:szCs w:val="28"/>
                      <w:lang w:eastAsia="zh-CN"/>
                    </w:rPr>
                  </w:pPr>
                </w:p>
              </w:txbxContent>
            </v:textbox>
          </v:shape>
        </w:pict>
      </w:r>
      <w:r>
        <w:rPr>
          <w:rFonts w:hint="eastAsia" w:ascii="仿宋" w:hAnsi="仿宋" w:eastAsia="仿宋" w:cs="仿宋"/>
          <w:lang w:eastAsia="zh-CN"/>
        </w:rPr>
        <w:t>（图表一）</w:t>
      </w:r>
    </w:p>
    <w:p>
      <w:pPr>
        <w:spacing w:line="520" w:lineRule="exact"/>
        <w:jc w:val="center"/>
        <w:rPr>
          <w:rFonts w:hint="eastAsia" w:ascii="仿宋" w:hAnsi="仿宋" w:eastAsia="仿宋" w:cs="仿宋"/>
          <w:lang w:eastAsia="zh-CN"/>
        </w:rPr>
      </w:pPr>
    </w:p>
    <w:p>
      <w:pPr>
        <w:spacing w:line="520" w:lineRule="exact"/>
        <w:jc w:val="both"/>
        <w:rPr>
          <w:rFonts w:hint="eastAsia" w:ascii="仿宋" w:hAnsi="仿宋" w:eastAsia="仿宋" w:cs="仿宋"/>
          <w:lang w:eastAsia="zh-CN"/>
        </w:rPr>
      </w:pPr>
    </w:p>
    <w:tbl>
      <w:tblPr>
        <w:tblStyle w:val="11"/>
        <w:tblpPr w:leftFromText="180" w:rightFromText="180" w:vertAnchor="text" w:horzAnchor="page" w:tblpXSpec="center" w:tblpY="466"/>
        <w:tblOverlap w:val="never"/>
        <w:tblW w:w="835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81"/>
        <w:gridCol w:w="1021"/>
        <w:gridCol w:w="823"/>
        <w:gridCol w:w="900"/>
        <w:gridCol w:w="1080"/>
        <w:gridCol w:w="645"/>
        <w:gridCol w:w="840"/>
        <w:gridCol w:w="960"/>
        <w:gridCol w:w="90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jc w:val="center"/>
        </w:trPr>
        <w:tc>
          <w:tcPr>
            <w:tcW w:w="281"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序号</w:t>
            </w:r>
          </w:p>
        </w:tc>
        <w:tc>
          <w:tcPr>
            <w:tcW w:w="1021" w:type="dxa"/>
            <w:vMerge w:val="restart"/>
            <w:tcBorders>
              <w:top w:val="single" w:color="000000" w:sz="4" w:space="0"/>
              <w:right w:val="single" w:color="000000" w:sz="4" w:space="0"/>
            </w:tcBorders>
            <w:shd w:val="clear" w:color="auto" w:fill="FFFFFF"/>
            <w:vAlign w:val="bottom"/>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法院</w:t>
            </w:r>
          </w:p>
        </w:tc>
        <w:tc>
          <w:tcPr>
            <w:tcW w:w="3448" w:type="dxa"/>
            <w:gridSpan w:val="4"/>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被改判</w:t>
            </w:r>
          </w:p>
        </w:tc>
        <w:tc>
          <w:tcPr>
            <w:tcW w:w="2700" w:type="dxa"/>
            <w:gridSpan w:val="3"/>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被发回重审</w:t>
            </w:r>
          </w:p>
        </w:tc>
        <w:tc>
          <w:tcPr>
            <w:tcW w:w="900" w:type="dxa"/>
            <w:vMerge w:val="restart"/>
            <w:tcBorders>
              <w:top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281"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0"/>
                <w:szCs w:val="20"/>
                <w:u w:val="none"/>
              </w:rPr>
            </w:pPr>
          </w:p>
        </w:tc>
        <w:tc>
          <w:tcPr>
            <w:tcW w:w="1021" w:type="dxa"/>
            <w:vMerge w:val="continue"/>
            <w:tcBorders>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p>
        </w:tc>
        <w:tc>
          <w:tcPr>
            <w:tcW w:w="1723"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被二审改判</w:t>
            </w:r>
          </w:p>
        </w:tc>
        <w:tc>
          <w:tcPr>
            <w:tcW w:w="10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被再审改判</w:t>
            </w:r>
          </w:p>
        </w:tc>
        <w:tc>
          <w:tcPr>
            <w:tcW w:w="645" w:type="dxa"/>
            <w:vMerge w:val="restart"/>
            <w:tcBorders>
              <w:right w:val="single" w:color="000000" w:sz="4" w:space="0"/>
            </w:tcBorders>
            <w:shd w:val="clear" w:color="auto" w:fill="FFFFFF"/>
            <w:vAlign w:val="bottom"/>
          </w:tcPr>
          <w:p>
            <w:pPr>
              <w:keepNext w:val="0"/>
              <w:keepLines w:val="0"/>
              <w:widowControl/>
              <w:suppressLineNumbers w:val="0"/>
              <w:jc w:val="center"/>
              <w:textAlignment w:val="bottom"/>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合计</w:t>
            </w:r>
          </w:p>
        </w:tc>
        <w:tc>
          <w:tcPr>
            <w:tcW w:w="180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被二审发回重审</w:t>
            </w:r>
          </w:p>
        </w:tc>
        <w:tc>
          <w:tcPr>
            <w:tcW w:w="900" w:type="dxa"/>
            <w:vMerge w:val="restart"/>
            <w:tcBorders>
              <w:right w:val="single" w:color="000000" w:sz="4" w:space="0"/>
            </w:tcBorders>
            <w:shd w:val="clear" w:color="auto" w:fill="FFFFFF"/>
            <w:vAlign w:val="bottom"/>
          </w:tcPr>
          <w:p>
            <w:pPr>
              <w:keepNext w:val="0"/>
              <w:keepLines w:val="0"/>
              <w:widowControl/>
              <w:suppressLineNumbers w:val="0"/>
              <w:jc w:val="center"/>
              <w:textAlignment w:val="bottom"/>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合计</w:t>
            </w:r>
          </w:p>
        </w:tc>
        <w:tc>
          <w:tcPr>
            <w:tcW w:w="900" w:type="dxa"/>
            <w:vMerge w:val="continue"/>
            <w:tcBorders>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0" w:hRule="atLeast"/>
          <w:jc w:val="center"/>
        </w:trPr>
        <w:tc>
          <w:tcPr>
            <w:tcW w:w="281" w:type="dxa"/>
            <w:vMerge w:val="continue"/>
            <w:tcBorders>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b/>
                <w:i w:val="0"/>
                <w:color w:val="000000"/>
                <w:sz w:val="20"/>
                <w:szCs w:val="20"/>
                <w:u w:val="none"/>
              </w:rPr>
            </w:pPr>
          </w:p>
        </w:tc>
        <w:tc>
          <w:tcPr>
            <w:tcW w:w="1021" w:type="dxa"/>
            <w:vMerge w:val="continue"/>
            <w:tcBorders>
              <w:bottom w:val="single" w:color="000000" w:sz="4" w:space="0"/>
              <w:right w:val="single" w:color="000000" w:sz="4" w:space="0"/>
            </w:tcBorders>
            <w:shd w:val="clear" w:color="auto" w:fill="FFFFFF"/>
            <w:vAlign w:val="center"/>
          </w:tcPr>
          <w:p>
            <w:pPr>
              <w:jc w:val="center"/>
              <w:rPr>
                <w:rFonts w:hint="eastAsia" w:ascii="仿宋" w:hAnsi="仿宋" w:eastAsia="仿宋" w:cs="仿宋"/>
                <w:b/>
                <w:i w:val="0"/>
                <w:color w:val="000000"/>
                <w:sz w:val="20"/>
                <w:szCs w:val="20"/>
                <w:u w:val="none"/>
              </w:rPr>
            </w:pPr>
          </w:p>
        </w:tc>
        <w:tc>
          <w:tcPr>
            <w:tcW w:w="823"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刑事</w:t>
            </w:r>
          </w:p>
        </w:tc>
        <w:tc>
          <w:tcPr>
            <w:tcW w:w="9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民事</w:t>
            </w:r>
          </w:p>
        </w:tc>
        <w:tc>
          <w:tcPr>
            <w:tcW w:w="10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刑事</w:t>
            </w:r>
          </w:p>
        </w:tc>
        <w:tc>
          <w:tcPr>
            <w:tcW w:w="645" w:type="dxa"/>
            <w:vMerge w:val="continue"/>
            <w:tcBorders>
              <w:bottom w:val="single" w:color="000000" w:sz="4" w:space="0"/>
              <w:right w:val="single" w:color="000000" w:sz="4" w:space="0"/>
            </w:tcBorders>
            <w:shd w:val="clear" w:color="auto" w:fill="FFFFFF"/>
            <w:vAlign w:val="bottom"/>
          </w:tcPr>
          <w:p>
            <w:pPr>
              <w:jc w:val="center"/>
              <w:rPr>
                <w:rFonts w:hint="eastAsia" w:ascii="仿宋" w:hAnsi="仿宋" w:eastAsia="仿宋" w:cs="仿宋"/>
                <w:b/>
                <w:i w:val="0"/>
                <w:color w:val="000000"/>
                <w:sz w:val="18"/>
                <w:szCs w:val="18"/>
                <w:u w:val="none"/>
              </w:rPr>
            </w:pPr>
          </w:p>
        </w:tc>
        <w:tc>
          <w:tcPr>
            <w:tcW w:w="84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刑事</w:t>
            </w:r>
          </w:p>
        </w:tc>
        <w:tc>
          <w:tcPr>
            <w:tcW w:w="96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民事</w:t>
            </w:r>
          </w:p>
        </w:tc>
        <w:tc>
          <w:tcPr>
            <w:tcW w:w="900" w:type="dxa"/>
            <w:vMerge w:val="continue"/>
            <w:tcBorders>
              <w:bottom w:val="single" w:color="000000" w:sz="4" w:space="0"/>
              <w:right w:val="single" w:color="000000" w:sz="4" w:space="0"/>
            </w:tcBorders>
            <w:shd w:val="clear" w:color="auto" w:fill="FFFFFF"/>
            <w:vAlign w:val="center"/>
          </w:tcPr>
          <w:p>
            <w:pPr>
              <w:jc w:val="center"/>
              <w:rPr>
                <w:rFonts w:hint="eastAsia" w:ascii="仿宋" w:hAnsi="仿宋" w:eastAsia="仿宋" w:cs="仿宋"/>
                <w:b/>
                <w:i w:val="0"/>
                <w:color w:val="000000"/>
                <w:sz w:val="18"/>
                <w:szCs w:val="18"/>
                <w:u w:val="none"/>
              </w:rPr>
            </w:pPr>
          </w:p>
        </w:tc>
        <w:tc>
          <w:tcPr>
            <w:tcW w:w="900" w:type="dxa"/>
            <w:vMerge w:val="continue"/>
            <w:tcBorders>
              <w:right w:val="single" w:color="000000" w:sz="4" w:space="0"/>
            </w:tcBorders>
            <w:shd w:val="clear" w:color="auto" w:fill="FFFFFF"/>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28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02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中院</w:t>
            </w:r>
          </w:p>
        </w:tc>
        <w:tc>
          <w:tcPr>
            <w:tcW w:w="823"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w:t>
            </w:r>
          </w:p>
        </w:tc>
        <w:tc>
          <w:tcPr>
            <w:tcW w:w="9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10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64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84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96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9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90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28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02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白石院</w:t>
            </w:r>
          </w:p>
        </w:tc>
        <w:tc>
          <w:tcPr>
            <w:tcW w:w="823"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w:t>
            </w:r>
          </w:p>
        </w:tc>
        <w:tc>
          <w:tcPr>
            <w:tcW w:w="9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10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64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w:t>
            </w:r>
          </w:p>
        </w:tc>
        <w:tc>
          <w:tcPr>
            <w:tcW w:w="84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96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9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9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28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102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红</w:t>
            </w:r>
            <w:r>
              <w:rPr>
                <w:rFonts w:hint="eastAsia" w:ascii="仿宋" w:hAnsi="仿宋" w:eastAsia="仿宋" w:cs="仿宋"/>
                <w:i w:val="0"/>
                <w:color w:val="000000"/>
                <w:kern w:val="0"/>
                <w:sz w:val="20"/>
                <w:szCs w:val="20"/>
                <w:u w:val="none"/>
                <w:lang w:val="en-US" w:eastAsia="zh-CN" w:bidi="ar"/>
              </w:rPr>
              <w:t>石</w:t>
            </w:r>
            <w:r>
              <w:rPr>
                <w:rFonts w:hint="eastAsia" w:ascii="仿宋" w:hAnsi="仿宋" w:eastAsia="仿宋" w:cs="仿宋"/>
                <w:i w:val="0"/>
                <w:color w:val="000000"/>
                <w:kern w:val="0"/>
                <w:sz w:val="20"/>
                <w:szCs w:val="20"/>
                <w:u w:val="none"/>
                <w:lang w:val="en-US" w:eastAsia="zh-CN" w:bidi="ar"/>
              </w:rPr>
              <w:t>院</w:t>
            </w:r>
          </w:p>
        </w:tc>
        <w:tc>
          <w:tcPr>
            <w:tcW w:w="823"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w:t>
            </w:r>
          </w:p>
        </w:tc>
        <w:tc>
          <w:tcPr>
            <w:tcW w:w="9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10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64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84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96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9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9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28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102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临江院</w:t>
            </w:r>
          </w:p>
        </w:tc>
        <w:tc>
          <w:tcPr>
            <w:tcW w:w="823"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9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10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64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84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96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9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9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28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102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抚松院</w:t>
            </w:r>
          </w:p>
        </w:tc>
        <w:tc>
          <w:tcPr>
            <w:tcW w:w="823"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9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w:t>
            </w:r>
          </w:p>
        </w:tc>
        <w:tc>
          <w:tcPr>
            <w:tcW w:w="10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64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w:t>
            </w:r>
          </w:p>
        </w:tc>
        <w:tc>
          <w:tcPr>
            <w:tcW w:w="84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96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9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9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 w:hRule="atLeast"/>
          <w:jc w:val="center"/>
        </w:trPr>
        <w:tc>
          <w:tcPr>
            <w:tcW w:w="1302"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总计</w:t>
            </w:r>
          </w:p>
        </w:tc>
        <w:tc>
          <w:tcPr>
            <w:tcW w:w="823"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2</w:t>
            </w:r>
          </w:p>
        </w:tc>
        <w:tc>
          <w:tcPr>
            <w:tcW w:w="9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14</w:t>
            </w:r>
          </w:p>
        </w:tc>
        <w:tc>
          <w:tcPr>
            <w:tcW w:w="10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1</w:t>
            </w:r>
          </w:p>
        </w:tc>
        <w:tc>
          <w:tcPr>
            <w:tcW w:w="64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1</w:t>
            </w:r>
            <w:r>
              <w:rPr>
                <w:rFonts w:hint="eastAsia" w:ascii="仿宋" w:hAnsi="仿宋" w:eastAsia="仿宋" w:cs="仿宋"/>
                <w:b/>
                <w:bCs/>
                <w:i w:val="0"/>
                <w:color w:val="000000"/>
                <w:kern w:val="0"/>
                <w:sz w:val="20"/>
                <w:szCs w:val="20"/>
                <w:u w:val="none"/>
                <w:lang w:val="en-US" w:eastAsia="zh-CN" w:bidi="ar"/>
              </w:rPr>
              <w:t>7</w:t>
            </w:r>
          </w:p>
        </w:tc>
        <w:tc>
          <w:tcPr>
            <w:tcW w:w="84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2</w:t>
            </w:r>
          </w:p>
        </w:tc>
        <w:tc>
          <w:tcPr>
            <w:tcW w:w="96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4</w:t>
            </w:r>
          </w:p>
        </w:tc>
        <w:tc>
          <w:tcPr>
            <w:tcW w:w="9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6</w:t>
            </w:r>
          </w:p>
        </w:tc>
        <w:tc>
          <w:tcPr>
            <w:tcW w:w="9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23</w:t>
            </w:r>
          </w:p>
        </w:tc>
      </w:tr>
    </w:tbl>
    <w:p>
      <w:pPr>
        <w:spacing w:line="520" w:lineRule="exact"/>
        <w:jc w:val="center"/>
        <w:rPr>
          <w:rFonts w:hint="eastAsia" w:ascii="仿宋" w:hAnsi="仿宋" w:eastAsia="仿宋" w:cs="仿宋"/>
          <w:lang w:eastAsia="zh-CN"/>
        </w:rPr>
      </w:pPr>
    </w:p>
    <w:p>
      <w:pPr>
        <w:spacing w:line="520" w:lineRule="exact"/>
        <w:jc w:val="center"/>
        <w:rPr>
          <w:rFonts w:hint="eastAsia" w:ascii="仿宋" w:hAnsi="仿宋" w:eastAsia="仿宋" w:cs="仿宋"/>
          <w:lang w:eastAsia="zh-CN"/>
        </w:rPr>
      </w:pPr>
      <w:r>
        <w:rPr>
          <w:rFonts w:hint="eastAsia" w:ascii="仿宋" w:hAnsi="仿宋" w:eastAsia="仿宋" w:cs="仿宋"/>
          <w:lang w:eastAsia="zh-CN"/>
        </w:rPr>
        <w:t>（图表二）</w:t>
      </w:r>
    </w:p>
    <w:p>
      <w:pPr>
        <w:spacing w:line="520" w:lineRule="exact"/>
        <w:ind w:firstLine="640" w:firstLineChars="200"/>
        <w:rPr>
          <w:rFonts w:hint="eastAsia" w:ascii="仿宋" w:hAnsi="仿宋" w:eastAsia="仿宋" w:cs="仿宋"/>
        </w:rPr>
      </w:pPr>
      <w:r>
        <w:rPr>
          <w:rFonts w:hint="eastAsia" w:ascii="仿宋" w:hAnsi="仿宋" w:eastAsia="仿宋" w:cs="仿宋"/>
        </w:rPr>
        <w:t>（三）民事案件调解、撤诉情况</w:t>
      </w:r>
    </w:p>
    <w:p>
      <w:pPr>
        <w:snapToGrid w:val="0"/>
        <w:spacing w:line="500" w:lineRule="exact"/>
        <w:ind w:firstLine="640" w:firstLineChars="200"/>
        <w:rPr>
          <w:rFonts w:hint="eastAsia" w:ascii="仿宋" w:hAnsi="仿宋" w:eastAsia="仿宋" w:cs="仿宋"/>
        </w:rPr>
      </w:pPr>
      <w:r>
        <w:rPr>
          <w:rFonts w:hint="eastAsia" w:ascii="仿宋" w:hAnsi="仿宋" w:eastAsia="仿宋" w:cs="仿宋"/>
        </w:rPr>
        <w:t>2017年度两级法院民事案件以调、撤方式结案的共计459件，以调解方式结案的364件，以撤诉方式结案的95件。其中，一审调解结案357件（红石院227件，白石山院25件，江源院23件,临江院34件，抚松院48件）；一审撤诉结案88件（白石山院14件，红石院18件，临江院19件，抚松院17件，江源院19件，中院1件），二审调解结案7件，二审撤诉结案7件。</w:t>
      </w:r>
    </w:p>
    <w:p>
      <w:pPr>
        <w:snapToGrid w:val="0"/>
        <w:spacing w:line="500" w:lineRule="exact"/>
        <w:ind w:firstLine="640" w:firstLineChars="200"/>
        <w:rPr>
          <w:rFonts w:hint="eastAsia" w:ascii="仿宋" w:hAnsi="仿宋" w:eastAsia="仿宋" w:cs="仿宋"/>
        </w:rPr>
      </w:pPr>
      <w:r>
        <w:rPr>
          <w:rFonts w:hint="eastAsia" w:ascii="仿宋" w:hAnsi="仿宋" w:eastAsia="仿宋" w:cs="仿宋"/>
        </w:rPr>
        <w:t>两级院的民事调解率为58.15%（中院调解率为12.28%，白石山院调解率为43.1%,江源院调解率为41.7%,临江院调解率为47.22%,抚松院调解率为44.04%,红石院调解率为82.85%），同比上升7.03个百分点；两级院的撤诉率为15.18%；两级院的调撤率为72.52%。</w:t>
      </w:r>
    </w:p>
    <w:p>
      <w:pPr>
        <w:snapToGrid w:val="0"/>
        <w:spacing w:line="500" w:lineRule="exact"/>
        <w:ind w:firstLine="643" w:firstLineChars="200"/>
        <w:rPr>
          <w:rFonts w:hint="eastAsia" w:ascii="仿宋" w:hAnsi="仿宋" w:eastAsia="仿宋" w:cs="仿宋"/>
          <w:b/>
        </w:rPr>
      </w:pPr>
    </w:p>
    <w:p>
      <w:pPr>
        <w:snapToGrid w:val="0"/>
        <w:spacing w:line="500" w:lineRule="exact"/>
        <w:ind w:firstLine="643" w:firstLineChars="200"/>
        <w:rPr>
          <w:rFonts w:hint="eastAsia" w:ascii="仿宋" w:hAnsi="仿宋" w:eastAsia="仿宋" w:cs="仿宋"/>
          <w:b/>
        </w:rPr>
      </w:pPr>
    </w:p>
    <w:p>
      <w:pPr>
        <w:snapToGrid w:val="0"/>
        <w:spacing w:line="500" w:lineRule="exact"/>
        <w:ind w:firstLine="640" w:firstLineChars="200"/>
        <w:rPr>
          <w:rFonts w:hint="eastAsia" w:ascii="仿宋" w:hAnsi="仿宋" w:eastAsia="仿宋" w:cs="仿宋"/>
          <w:b/>
        </w:rPr>
      </w:pPr>
      <w:r>
        <w:rPr>
          <w:rFonts w:hint="eastAsia" w:ascii="仿宋" w:hAnsi="仿宋" w:eastAsia="仿宋" w:cs="仿宋"/>
          <w:lang w:eastAsia="zh-CN"/>
        </w:rPr>
        <w:drawing>
          <wp:anchor distT="0" distB="0" distL="114300" distR="114300" simplePos="0" relativeHeight="251665408" behindDoc="0" locked="0" layoutInCell="1" allowOverlap="1">
            <wp:simplePos x="0" y="0"/>
            <wp:positionH relativeFrom="column">
              <wp:posOffset>71120</wp:posOffset>
            </wp:positionH>
            <wp:positionV relativeFrom="paragraph">
              <wp:posOffset>362585</wp:posOffset>
            </wp:positionV>
            <wp:extent cx="5754370" cy="2802890"/>
            <wp:effectExtent l="47625" t="9525" r="65405" b="10223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napToGrid w:val="0"/>
        <w:spacing w:line="500" w:lineRule="exact"/>
        <w:rPr>
          <w:rFonts w:hint="eastAsia" w:ascii="仿宋" w:hAnsi="仿宋" w:eastAsia="仿宋" w:cs="仿宋"/>
          <w:b/>
        </w:rPr>
      </w:pPr>
    </w:p>
    <w:p>
      <w:pPr>
        <w:snapToGrid w:val="0"/>
        <w:spacing w:line="500" w:lineRule="exact"/>
        <w:ind w:firstLine="643" w:firstLineChars="200"/>
        <w:rPr>
          <w:rFonts w:hint="eastAsia" w:ascii="仿宋" w:hAnsi="仿宋" w:eastAsia="仿宋" w:cs="仿宋"/>
          <w:b/>
        </w:rPr>
      </w:pPr>
      <w:r>
        <w:rPr>
          <w:rFonts w:hint="eastAsia" w:ascii="仿宋" w:hAnsi="仿宋" w:eastAsia="仿宋" w:cs="仿宋"/>
          <w:b/>
        </w:rPr>
        <w:t>三、与案件效率相关的指标情况</w:t>
      </w:r>
    </w:p>
    <w:p>
      <w:pPr>
        <w:spacing w:line="520" w:lineRule="exact"/>
        <w:ind w:firstLine="640" w:firstLineChars="200"/>
        <w:rPr>
          <w:rFonts w:hint="eastAsia" w:ascii="仿宋" w:hAnsi="仿宋" w:eastAsia="仿宋" w:cs="仿宋"/>
        </w:rPr>
      </w:pPr>
      <w:r>
        <w:rPr>
          <w:rFonts w:hint="eastAsia" w:ascii="仿宋" w:hAnsi="仿宋" w:eastAsia="仿宋" w:cs="仿宋"/>
        </w:rPr>
        <w:t>(一)法定审限内结案率及长期未结诉讼案件情况</w:t>
      </w:r>
    </w:p>
    <w:p>
      <w:pPr>
        <w:spacing w:line="520" w:lineRule="exact"/>
        <w:ind w:firstLine="645"/>
        <w:rPr>
          <w:rFonts w:hint="eastAsia" w:ascii="仿宋" w:hAnsi="仿宋" w:eastAsia="仿宋" w:cs="仿宋"/>
        </w:rPr>
      </w:pPr>
      <w:r>
        <w:rPr>
          <w:rFonts w:hint="eastAsia" w:ascii="仿宋" w:hAnsi="仿宋" w:eastAsia="仿宋" w:cs="仿宋"/>
        </w:rPr>
        <w:t>2017年度两级法院诉讼类结案率96.01%,法定审限内结案率为98.55%。</w:t>
      </w:r>
    </w:p>
    <w:p>
      <w:pPr>
        <w:spacing w:line="520" w:lineRule="exact"/>
        <w:ind w:firstLine="645"/>
        <w:rPr>
          <w:rFonts w:hint="eastAsia" w:ascii="仿宋" w:hAnsi="仿宋" w:eastAsia="仿宋" w:cs="仿宋"/>
          <w:lang w:eastAsia="zh-CN"/>
        </w:rPr>
      </w:pPr>
      <w:r>
        <w:rPr>
          <w:rFonts w:hint="eastAsia" w:ascii="仿宋" w:hAnsi="仿宋" w:eastAsia="仿宋" w:cs="仿宋"/>
        </w:rPr>
        <w:t>截止到12月31日，两级法院超过6个月未结案件有5件，其中，白石山2件（因为公告，目前仍处于公告期），临江院1件（因为鉴定，目前未结），红石1件</w:t>
      </w:r>
      <w:r>
        <w:rPr>
          <w:rFonts w:hint="eastAsia" w:ascii="仿宋" w:hAnsi="仿宋" w:eastAsia="仿宋" w:cs="仿宋"/>
          <w:color w:val="000000" w:themeColor="text1"/>
        </w:rPr>
        <w:t>（因为</w:t>
      </w:r>
      <w:r>
        <w:rPr>
          <w:rFonts w:hint="eastAsia" w:ascii="仿宋" w:hAnsi="仿宋" w:eastAsia="仿宋" w:cs="仿宋"/>
          <w:color w:val="000000" w:themeColor="text1"/>
        </w:rPr>
        <w:t>一方当事人</w:t>
      </w:r>
      <w:r>
        <w:rPr>
          <w:rFonts w:hint="eastAsia" w:ascii="仿宋" w:hAnsi="仿宋" w:eastAsia="仿宋" w:cs="仿宋"/>
          <w:color w:val="000000" w:themeColor="text1"/>
        </w:rPr>
        <w:t>被南京市公安局逮捕，出现文书送达等问题而中止，现承办人正积极想办法，争取早日审结），</w:t>
      </w:r>
      <w:r>
        <w:rPr>
          <w:rFonts w:hint="eastAsia" w:ascii="仿宋" w:hAnsi="仿宋" w:eastAsia="仿宋" w:cs="仿宋"/>
        </w:rPr>
        <w:t>江源1件（因为鉴定，目前未结）。</w:t>
      </w:r>
      <w:r>
        <w:rPr>
          <w:rFonts w:hint="eastAsia" w:ascii="仿宋" w:hAnsi="仿宋" w:eastAsia="仿宋" w:cs="仿宋"/>
          <w:lang w:eastAsia="zh-CN"/>
        </w:rPr>
        <w:t>（见图表三）</w:t>
      </w:r>
    </w:p>
    <w:p>
      <w:pPr>
        <w:spacing w:line="520" w:lineRule="exact"/>
        <w:ind w:firstLine="645"/>
        <w:rPr>
          <w:rFonts w:hint="eastAsia" w:ascii="仿宋" w:hAnsi="仿宋" w:eastAsia="仿宋" w:cs="仿宋"/>
          <w:lang w:eastAsia="zh-CN"/>
        </w:rPr>
      </w:pPr>
    </w:p>
    <w:p>
      <w:pPr>
        <w:spacing w:line="520" w:lineRule="exact"/>
        <w:ind w:firstLine="645"/>
        <w:rPr>
          <w:rFonts w:hint="eastAsia" w:ascii="仿宋" w:hAnsi="仿宋" w:eastAsia="仿宋" w:cs="仿宋"/>
          <w:lang w:eastAsia="zh-CN"/>
        </w:rPr>
      </w:pPr>
    </w:p>
    <w:p>
      <w:pPr>
        <w:spacing w:line="520" w:lineRule="exact"/>
        <w:ind w:firstLine="645"/>
        <w:rPr>
          <w:rFonts w:hint="eastAsia" w:ascii="仿宋" w:hAnsi="仿宋" w:eastAsia="仿宋" w:cs="仿宋"/>
          <w:lang w:eastAsia="zh-CN"/>
        </w:rPr>
      </w:pPr>
    </w:p>
    <w:p>
      <w:pPr>
        <w:spacing w:line="520" w:lineRule="exact"/>
        <w:ind w:firstLine="645"/>
        <w:rPr>
          <w:rFonts w:hint="eastAsia" w:ascii="仿宋" w:hAnsi="仿宋" w:eastAsia="仿宋" w:cs="仿宋"/>
          <w:lang w:eastAsia="zh-CN"/>
        </w:rPr>
      </w:pPr>
    </w:p>
    <w:p>
      <w:pPr>
        <w:spacing w:line="520" w:lineRule="exact"/>
        <w:rPr>
          <w:rFonts w:hint="eastAsia" w:ascii="仿宋" w:hAnsi="仿宋" w:eastAsia="仿宋" w:cs="仿宋"/>
          <w:lang w:eastAsia="zh-CN"/>
        </w:rPr>
      </w:pPr>
    </w:p>
    <w:tbl>
      <w:tblPr>
        <w:tblStyle w:val="11"/>
        <w:tblW w:w="89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25"/>
        <w:gridCol w:w="1408"/>
        <w:gridCol w:w="1980"/>
        <w:gridCol w:w="1080"/>
        <w:gridCol w:w="975"/>
        <w:gridCol w:w="510"/>
        <w:gridCol w:w="480"/>
        <w:gridCol w:w="495"/>
        <w:gridCol w:w="600"/>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序号</w:t>
            </w:r>
          </w:p>
        </w:tc>
        <w:tc>
          <w:tcPr>
            <w:tcW w:w="1408"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案号</w:t>
            </w:r>
          </w:p>
        </w:tc>
        <w:tc>
          <w:tcPr>
            <w:tcW w:w="19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案件名称</w:t>
            </w:r>
          </w:p>
        </w:tc>
        <w:tc>
          <w:tcPr>
            <w:tcW w:w="10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立案日期</w:t>
            </w:r>
          </w:p>
        </w:tc>
        <w:tc>
          <w:tcPr>
            <w:tcW w:w="97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法院名</w:t>
            </w:r>
          </w:p>
        </w:tc>
        <w:tc>
          <w:tcPr>
            <w:tcW w:w="51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扣除审限</w:t>
            </w:r>
          </w:p>
        </w:tc>
        <w:tc>
          <w:tcPr>
            <w:tcW w:w="4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实际审理</w:t>
            </w:r>
          </w:p>
        </w:tc>
        <w:tc>
          <w:tcPr>
            <w:tcW w:w="49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法定审限</w:t>
            </w:r>
          </w:p>
        </w:tc>
        <w:tc>
          <w:tcPr>
            <w:tcW w:w="60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实际审限</w:t>
            </w:r>
          </w:p>
        </w:tc>
        <w:tc>
          <w:tcPr>
            <w:tcW w:w="109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审限届满日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1408"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（2017）吉7601民初17号</w:t>
            </w:r>
          </w:p>
        </w:tc>
        <w:tc>
          <w:tcPr>
            <w:tcW w:w="19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张喜贵等诉刘军等建设工程施工合同纠纷</w:t>
            </w:r>
          </w:p>
        </w:tc>
        <w:tc>
          <w:tcPr>
            <w:tcW w:w="10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2017-03-07</w:t>
            </w:r>
          </w:p>
        </w:tc>
        <w:tc>
          <w:tcPr>
            <w:tcW w:w="9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临江院</w:t>
            </w:r>
          </w:p>
        </w:tc>
        <w:tc>
          <w:tcPr>
            <w:tcW w:w="51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169</w:t>
            </w:r>
          </w:p>
        </w:tc>
        <w:tc>
          <w:tcPr>
            <w:tcW w:w="4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138</w:t>
            </w:r>
          </w:p>
        </w:tc>
        <w:tc>
          <w:tcPr>
            <w:tcW w:w="49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184</w:t>
            </w:r>
          </w:p>
        </w:tc>
        <w:tc>
          <w:tcPr>
            <w:tcW w:w="6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186</w:t>
            </w:r>
          </w:p>
        </w:tc>
        <w:tc>
          <w:tcPr>
            <w:tcW w:w="109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2018-02-26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3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1408"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（2017）吉7602民特2号</w:t>
            </w:r>
          </w:p>
        </w:tc>
        <w:tc>
          <w:tcPr>
            <w:tcW w:w="19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刘淑兰诉孙毅申请宣告公民死亡</w:t>
            </w:r>
          </w:p>
        </w:tc>
        <w:tc>
          <w:tcPr>
            <w:tcW w:w="10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2017-02-14</w:t>
            </w:r>
          </w:p>
        </w:tc>
        <w:tc>
          <w:tcPr>
            <w:tcW w:w="9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白石山院</w:t>
            </w:r>
          </w:p>
        </w:tc>
        <w:tc>
          <w:tcPr>
            <w:tcW w:w="51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329</w:t>
            </w:r>
          </w:p>
        </w:tc>
        <w:tc>
          <w:tcPr>
            <w:tcW w:w="4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49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w:t>
            </w:r>
          </w:p>
        </w:tc>
        <w:tc>
          <w:tcPr>
            <w:tcW w:w="6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w:t>
            </w:r>
          </w:p>
        </w:tc>
        <w:tc>
          <w:tcPr>
            <w:tcW w:w="109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2018-02-09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3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1408"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（2017）吉7602民特3号</w:t>
            </w:r>
          </w:p>
        </w:tc>
        <w:tc>
          <w:tcPr>
            <w:tcW w:w="19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韩秀珍诉李振华申请宣告公民死亡</w:t>
            </w:r>
          </w:p>
        </w:tc>
        <w:tc>
          <w:tcPr>
            <w:tcW w:w="10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2017-03-30</w:t>
            </w:r>
          </w:p>
        </w:tc>
        <w:tc>
          <w:tcPr>
            <w:tcW w:w="9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白石山院</w:t>
            </w:r>
          </w:p>
        </w:tc>
        <w:tc>
          <w:tcPr>
            <w:tcW w:w="51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268</w:t>
            </w:r>
          </w:p>
        </w:tc>
        <w:tc>
          <w:tcPr>
            <w:tcW w:w="4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16</w:t>
            </w:r>
          </w:p>
        </w:tc>
        <w:tc>
          <w:tcPr>
            <w:tcW w:w="49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w:t>
            </w:r>
          </w:p>
        </w:tc>
        <w:tc>
          <w:tcPr>
            <w:tcW w:w="6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w:t>
            </w:r>
          </w:p>
        </w:tc>
        <w:tc>
          <w:tcPr>
            <w:tcW w:w="109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2018-01-23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1408"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（2017）吉7603民初28号</w:t>
            </w:r>
          </w:p>
        </w:tc>
        <w:tc>
          <w:tcPr>
            <w:tcW w:w="19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鲍成梅等诉王佩伍等追偿权纠纷</w:t>
            </w:r>
          </w:p>
        </w:tc>
        <w:tc>
          <w:tcPr>
            <w:tcW w:w="10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2017-04-24</w:t>
            </w:r>
          </w:p>
        </w:tc>
        <w:tc>
          <w:tcPr>
            <w:tcW w:w="9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红石院</w:t>
            </w:r>
          </w:p>
        </w:tc>
        <w:tc>
          <w:tcPr>
            <w:tcW w:w="51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180</w:t>
            </w:r>
          </w:p>
        </w:tc>
        <w:tc>
          <w:tcPr>
            <w:tcW w:w="4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79</w:t>
            </w:r>
          </w:p>
        </w:tc>
        <w:tc>
          <w:tcPr>
            <w:tcW w:w="49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183</w:t>
            </w:r>
          </w:p>
        </w:tc>
        <w:tc>
          <w:tcPr>
            <w:tcW w:w="6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183</w:t>
            </w:r>
          </w:p>
        </w:tc>
        <w:tc>
          <w:tcPr>
            <w:tcW w:w="109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2018-04-23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1408"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（2017）吉7605民初27号</w:t>
            </w:r>
          </w:p>
        </w:tc>
        <w:tc>
          <w:tcPr>
            <w:tcW w:w="19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吉林省三林木业有限责任公司诉中国太平洋财产保险股份有限公司白山中心支公司财产损失保险合同纠纷</w:t>
            </w:r>
          </w:p>
        </w:tc>
        <w:tc>
          <w:tcPr>
            <w:tcW w:w="10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2017-06-27</w:t>
            </w:r>
          </w:p>
        </w:tc>
        <w:tc>
          <w:tcPr>
            <w:tcW w:w="9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江源院</w:t>
            </w:r>
          </w:p>
        </w:tc>
        <w:tc>
          <w:tcPr>
            <w:tcW w:w="51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179</w:t>
            </w:r>
          </w:p>
        </w:tc>
        <w:tc>
          <w:tcPr>
            <w:tcW w:w="4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16</w:t>
            </w:r>
          </w:p>
        </w:tc>
        <w:tc>
          <w:tcPr>
            <w:tcW w:w="49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92</w:t>
            </w:r>
          </w:p>
        </w:tc>
        <w:tc>
          <w:tcPr>
            <w:tcW w:w="6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92</w:t>
            </w:r>
          </w:p>
        </w:tc>
        <w:tc>
          <w:tcPr>
            <w:tcW w:w="109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2018-03-26</w:t>
            </w:r>
          </w:p>
        </w:tc>
      </w:tr>
    </w:tbl>
    <w:p>
      <w:pPr>
        <w:spacing w:line="520" w:lineRule="exact"/>
        <w:ind w:firstLine="645"/>
        <w:jc w:val="center"/>
        <w:rPr>
          <w:rFonts w:hint="eastAsia" w:ascii="仿宋" w:hAnsi="仿宋" w:eastAsia="仿宋" w:cs="仿宋"/>
          <w:lang w:val="en-US" w:eastAsia="zh-CN"/>
        </w:rPr>
      </w:pPr>
      <w:r>
        <w:rPr>
          <w:rFonts w:hint="eastAsia" w:ascii="仿宋" w:hAnsi="仿宋" w:eastAsia="仿宋" w:cs="仿宋"/>
          <w:lang w:val="en-US" w:eastAsia="zh-CN"/>
        </w:rPr>
        <w:t>（图表三）</w:t>
      </w:r>
    </w:p>
    <w:p>
      <w:pPr>
        <w:spacing w:line="520" w:lineRule="exact"/>
        <w:ind w:firstLine="645"/>
        <w:rPr>
          <w:rFonts w:hint="eastAsia" w:ascii="仿宋" w:hAnsi="仿宋" w:eastAsia="仿宋" w:cs="仿宋"/>
        </w:rPr>
      </w:pPr>
    </w:p>
    <w:p>
      <w:pPr>
        <w:spacing w:line="520" w:lineRule="exact"/>
        <w:ind w:firstLine="645"/>
        <w:rPr>
          <w:rFonts w:hint="eastAsia" w:ascii="仿宋" w:hAnsi="仿宋" w:eastAsia="仿宋" w:cs="仿宋"/>
        </w:rPr>
      </w:pPr>
      <w:r>
        <w:rPr>
          <w:rFonts w:hint="eastAsia" w:ascii="仿宋" w:hAnsi="仿宋" w:eastAsia="仿宋" w:cs="仿宋"/>
        </w:rPr>
        <w:t>（二）案件平均审理周期（该统计包含扣除审限天数）</w:t>
      </w:r>
    </w:p>
    <w:p>
      <w:pPr>
        <w:spacing w:line="520" w:lineRule="exact"/>
        <w:ind w:firstLine="645"/>
        <w:rPr>
          <w:rFonts w:hint="eastAsia" w:ascii="仿宋" w:hAnsi="仿宋" w:eastAsia="仿宋" w:cs="仿宋"/>
        </w:rPr>
      </w:pPr>
      <w:r>
        <w:rPr>
          <w:rFonts w:hint="eastAsia" w:ascii="仿宋" w:hAnsi="仿宋" w:eastAsia="仿宋" w:cs="仿宋"/>
        </w:rPr>
        <w:t>2017年两级法院平均审理天数为53.4天。其中，中院平均审理天数为74.8天，白石山院平均审理天数为80.6天，红石院平均审理天数为28.3天，临江院平均审理天数为69.8天，抚松院平均审理天数为79.2天，江源院平均审理天数为53.4天。从案件类型上看，刑事平均审理天数为65.2天，民事平均审理天数为67.5天，行政平均审理天数为23.7天，审查监督平均审理天数为59.1天。（不含扣除审限天数，两级法院平均审理天数为32.7天，中院平均审理天数为65.1天，白石山院平均审理天数为37.6天，红石院平均审理天数为17.6天，临江院平均审理天数为45.3天，抚松院平均审理天数为36.7天，江源院平均审理天数为38.2天。）</w:t>
      </w:r>
    </w:p>
    <w:p>
      <w:pPr>
        <w:spacing w:line="520" w:lineRule="exact"/>
        <w:ind w:firstLine="645"/>
        <w:rPr>
          <w:rFonts w:hint="eastAsia" w:ascii="仿宋" w:hAnsi="仿宋" w:eastAsia="仿宋" w:cs="仿宋"/>
          <w:lang w:eastAsia="zh-CN"/>
        </w:rPr>
      </w:pPr>
    </w:p>
    <w:p>
      <w:pPr>
        <w:spacing w:line="520" w:lineRule="exact"/>
        <w:ind w:firstLine="645"/>
        <w:rPr>
          <w:rFonts w:hint="eastAsia" w:ascii="仿宋" w:hAnsi="仿宋" w:eastAsia="仿宋" w:cs="仿宋"/>
        </w:rPr>
      </w:pPr>
      <w:r>
        <w:rPr>
          <w:rFonts w:hint="eastAsia" w:ascii="仿宋" w:hAnsi="仿宋" w:eastAsia="仿宋" w:cs="仿宋"/>
          <w:sz w:val="32"/>
        </w:rPr>
        <w:pict>
          <v:shape id="_x0000_s1056" o:spid="_x0000_s1056" o:spt="13" type="#_x0000_t13" style="position:absolute;left:0pt;margin-left:326.4pt;margin-top:122.25pt;height:13.35pt;width:32.05pt;rotation:3014656f;z-index:251948032;mso-width-relative:page;mso-height-relative:page;" fillcolor="#00B050" filled="t" stroked="t" coordsize="21600,21600" adj="16200,5400">
            <v:path/>
            <v:fill on="t" color2="#FFFFFF" focussize="0,0"/>
            <v:stroke weight="1.25pt" color="#739CC3" joinstyle="miter"/>
            <v:imagedata o:title=""/>
            <o:lock v:ext="edit" aspectratio="f"/>
          </v:shape>
        </w:pict>
      </w:r>
      <w:r>
        <w:rPr>
          <w:rFonts w:hint="eastAsia" w:ascii="仿宋" w:hAnsi="仿宋" w:eastAsia="仿宋" w:cs="仿宋"/>
          <w:sz w:val="32"/>
        </w:rPr>
        <w:pict>
          <v:shape id="_x0000_s1055" o:spid="_x0000_s1055" o:spt="13" type="#_x0000_t13" style="position:absolute;left:0pt;margin-left:257.3pt;margin-top:141.15pt;height:13.35pt;width:32.4pt;rotation:2359296f;z-index:251802624;mso-width-relative:page;mso-height-relative:page;" fillcolor="#00B050" filled="t" stroked="t" coordsize="21600,21600" adj="16200,5400">
            <v:path/>
            <v:fill on="t" color2="#FFFFFF" focussize="0,0"/>
            <v:stroke weight="1.25pt" color="#739CC3" joinstyle="miter"/>
            <v:imagedata o:title=""/>
            <o:lock v:ext="edit" aspectratio="f"/>
          </v:shape>
        </w:pict>
      </w:r>
      <w:r>
        <w:rPr>
          <w:rFonts w:hint="eastAsia" w:ascii="仿宋" w:hAnsi="仿宋" w:eastAsia="仿宋" w:cs="仿宋"/>
          <w:lang w:eastAsia="zh-CN"/>
        </w:rPr>
        <w:drawing>
          <wp:anchor distT="0" distB="0" distL="114300" distR="114300" simplePos="0" relativeHeight="251666432" behindDoc="0" locked="0" layoutInCell="1" allowOverlap="1">
            <wp:simplePos x="0" y="0"/>
            <wp:positionH relativeFrom="column">
              <wp:posOffset>119380</wp:posOffset>
            </wp:positionH>
            <wp:positionV relativeFrom="paragraph">
              <wp:posOffset>19050</wp:posOffset>
            </wp:positionV>
            <wp:extent cx="5479415" cy="3953510"/>
            <wp:effectExtent l="4445" t="4445" r="21590" b="23495"/>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仿宋" w:hAnsi="仿宋" w:eastAsia="仿宋" w:cs="仿宋"/>
          <w:sz w:val="32"/>
        </w:rPr>
        <w:pict>
          <v:shape id="_x0000_s1053" o:spid="_x0000_s1053" o:spt="13" type="#_x0000_t13" style="position:absolute;left:0pt;margin-left:119.25pt;margin-top:125.3pt;height:14.3pt;width:29.55pt;rotation:2555904f;z-index:251724800;mso-width-relative:page;mso-height-relative:page;" fillcolor="#00B050" filled="t" stroked="t" coordsize="21600,21600" adj="16200,5400">
            <v:path/>
            <v:fill on="t" color2="#FFFFFF" focussize="0,0"/>
            <v:stroke weight="1.25pt" color="#739CC3" joinstyle="miter"/>
            <v:imagedata o:title=""/>
            <o:lock v:ext="edit" aspectratio="f"/>
          </v:shape>
        </w:pict>
      </w:r>
      <w:r>
        <w:rPr>
          <w:rFonts w:hint="eastAsia" w:ascii="仿宋" w:hAnsi="仿宋" w:eastAsia="仿宋" w:cs="仿宋"/>
          <w:sz w:val="32"/>
        </w:rPr>
        <w:pict>
          <v:shape id="_x0000_s1063" o:spid="_x0000_s1063" o:spt="202" type="#_x0000_t202" style="position:absolute;left:0pt;margin-left:373.2pt;margin-top:123.25pt;height:34.5pt;width:56.95pt;z-index:251672576;mso-width-relative:page;mso-height-relative:page;" fillcolor="#FFFFFF" filled="t" stroked="f" coordsize="21600,21600">
            <v:path/>
            <v:fill type="gradient" on="t" color2="#FFFFFF" angle="90" focus="0%" focussize="0f,0f" focusposition="0f,0f">
              <o:fill type="gradientUnscaled" v:ext="backwardCompatible"/>
            </v:fill>
            <v:stroke on="f" weight="1.25pt"/>
            <v:imagedata o:title=""/>
            <o:lock v:ext="edit" aspectratio="f"/>
            <v:textbox>
              <w:txbxContent>
                <w:p>
                  <w:pPr>
                    <w:rPr>
                      <w:rFonts w:hint="eastAsia" w:eastAsia="仿宋_GB2312"/>
                      <w:sz w:val="22"/>
                      <w:szCs w:val="22"/>
                      <w:lang w:val="en-US" w:eastAsia="zh-CN"/>
                    </w:rPr>
                  </w:pPr>
                  <w:r>
                    <w:rPr>
                      <w:rFonts w:hint="eastAsia"/>
                      <w:sz w:val="22"/>
                      <w:szCs w:val="22"/>
                      <w:lang w:val="en-US" w:eastAsia="zh-CN"/>
                    </w:rPr>
                    <w:t>15.2天</w:t>
                  </w:r>
                </w:p>
              </w:txbxContent>
            </v:textbox>
          </v:shape>
        </w:pict>
      </w:r>
      <w:r>
        <w:rPr>
          <w:rFonts w:hint="eastAsia" w:ascii="仿宋" w:hAnsi="仿宋" w:eastAsia="仿宋" w:cs="仿宋"/>
          <w:sz w:val="32"/>
        </w:rPr>
        <w:pict>
          <v:shape id="_x0000_s1057" o:spid="_x0000_s1057" o:spt="13" type="#_x0000_t13" style="position:absolute;left:0pt;margin-left:392.4pt;margin-top:156.75pt;height:13.35pt;width:32.05pt;rotation:2097152f;z-index:252238848;mso-width-relative:page;mso-height-relative:page;" fillcolor="#00B050" filled="t" stroked="t" coordsize="21600,21600" adj="16200,5400">
            <v:path/>
            <v:fill on="t" color2="#FFFFFF" focussize="0,0"/>
            <v:stroke weight="1.25pt" color="#739CC3" joinstyle="miter"/>
            <v:imagedata o:title=""/>
            <o:lock v:ext="edit" aspectratio="f"/>
          </v:shape>
        </w:pict>
      </w:r>
      <w:r>
        <w:rPr>
          <w:rFonts w:hint="eastAsia" w:ascii="仿宋" w:hAnsi="仿宋" w:eastAsia="仿宋" w:cs="仿宋"/>
          <w:sz w:val="32"/>
        </w:rPr>
        <w:pict>
          <v:shape id="_x0000_s1062" o:spid="_x0000_s1062" o:spt="202" type="#_x0000_t202" style="position:absolute;left:0pt;margin-left:320pt;margin-top:82pt;height:32.25pt;width:65.2pt;z-index:251671552;mso-width-relative:page;mso-height-relative:page;" fillcolor="#FFFFFF" filled="t" stroked="f" coordsize="21600,21600">
            <v:path/>
            <v:fill type="gradient" on="t" color2="#FFFFFF" angle="90" focus="0%" focussize="0f,0f" focusposition="0f,0f">
              <o:fill type="gradientUnscaled" v:ext="backwardCompatible"/>
            </v:fill>
            <v:stroke on="f" weight="1.25pt"/>
            <v:imagedata o:title=""/>
            <o:lock v:ext="edit" aspectratio="f"/>
            <v:textbox>
              <w:txbxContent>
                <w:p>
                  <w:pPr>
                    <w:rPr>
                      <w:rFonts w:hint="eastAsia" w:eastAsia="仿宋_GB2312"/>
                      <w:sz w:val="22"/>
                      <w:szCs w:val="22"/>
                      <w:lang w:val="en-US" w:eastAsia="zh-CN"/>
                    </w:rPr>
                  </w:pPr>
                  <w:r>
                    <w:rPr>
                      <w:rFonts w:hint="eastAsia"/>
                      <w:sz w:val="22"/>
                      <w:szCs w:val="22"/>
                      <w:lang w:val="en-US" w:eastAsia="zh-CN"/>
                    </w:rPr>
                    <w:t>42.5天</w:t>
                  </w:r>
                </w:p>
              </w:txbxContent>
            </v:textbox>
          </v:shape>
        </w:pict>
      </w:r>
      <w:r>
        <w:rPr>
          <w:rFonts w:hint="eastAsia" w:ascii="仿宋" w:hAnsi="仿宋" w:eastAsia="仿宋" w:cs="仿宋"/>
          <w:sz w:val="32"/>
        </w:rPr>
        <w:pict>
          <v:shape id="_x0000_s1061" o:spid="_x0000_s1061" o:spt="202" type="#_x0000_t202" style="position:absolute;left:0pt;margin-left:242.75pt;margin-top:91.75pt;height:27.8pt;width:50.95pt;z-index:251670528;mso-width-relative:page;mso-height-relative:page;" fillcolor="#FFFFFF" filled="t" stroked="f" coordsize="21600,21600">
            <v:path/>
            <v:fill type="gradient" on="t" color2="#FFFFFF" angle="90" focus="0%" focussize="0f,0f" focusposition="0f,0f">
              <o:fill type="gradientUnscaled" v:ext="backwardCompatible"/>
            </v:fill>
            <v:stroke on="f" weight="1.25pt"/>
            <v:imagedata o:title=""/>
            <o:lock v:ext="edit" aspectratio="f"/>
            <v:textbox>
              <w:txbxContent>
                <w:p>
                  <w:pPr>
                    <w:rPr>
                      <w:rFonts w:hint="eastAsia" w:eastAsia="仿宋_GB2312"/>
                      <w:sz w:val="22"/>
                      <w:szCs w:val="22"/>
                      <w:lang w:val="en-US" w:eastAsia="zh-CN"/>
                    </w:rPr>
                  </w:pPr>
                  <w:r>
                    <w:rPr>
                      <w:rFonts w:hint="eastAsia"/>
                      <w:sz w:val="22"/>
                      <w:szCs w:val="22"/>
                      <w:lang w:val="en-US" w:eastAsia="zh-CN"/>
                    </w:rPr>
                    <w:t>24.5天</w:t>
                  </w:r>
                </w:p>
              </w:txbxContent>
            </v:textbox>
          </v:shape>
        </w:pict>
      </w:r>
      <w:r>
        <w:rPr>
          <w:rFonts w:hint="eastAsia" w:ascii="仿宋" w:hAnsi="仿宋" w:eastAsia="仿宋" w:cs="仿宋"/>
          <w:sz w:val="32"/>
        </w:rPr>
        <w:pict>
          <v:shape id="_x0000_s1060" o:spid="_x0000_s1060" o:spt="202" type="#_x0000_t202" style="position:absolute;left:0pt;margin-left:168.5pt;margin-top:178pt;height:22.5pt;width:50.2pt;z-index:251669504;mso-width-relative:page;mso-height-relative:page;" fillcolor="#FFFFFF" filled="t" stroked="f" coordsize="21600,21600">
            <v:path/>
            <v:fill type="gradient" on="t" color2="#FFFFFF" angle="90" focus="0%" focussize="0f,0f" focusposition="0f,0f">
              <o:fill type="gradientUnscaled" v:ext="backwardCompatible"/>
            </v:fill>
            <v:stroke on="f" weight="1.25pt"/>
            <v:imagedata o:title=""/>
            <o:lock v:ext="edit" aspectratio="f"/>
            <v:textbox>
              <w:txbxContent>
                <w:p>
                  <w:pPr>
                    <w:rPr>
                      <w:rFonts w:hint="eastAsia" w:eastAsia="仿宋_GB2312"/>
                      <w:sz w:val="20"/>
                      <w:szCs w:val="20"/>
                      <w:lang w:val="en-US" w:eastAsia="zh-CN"/>
                    </w:rPr>
                  </w:pPr>
                  <w:r>
                    <w:rPr>
                      <w:rFonts w:hint="eastAsia"/>
                      <w:sz w:val="20"/>
                      <w:szCs w:val="20"/>
                      <w:lang w:val="en-US" w:eastAsia="zh-CN"/>
                    </w:rPr>
                    <w:t>10.7天</w:t>
                  </w:r>
                </w:p>
              </w:txbxContent>
            </v:textbox>
          </v:shape>
        </w:pict>
      </w:r>
      <w:r>
        <w:rPr>
          <w:rFonts w:hint="eastAsia" w:ascii="仿宋" w:hAnsi="仿宋" w:eastAsia="仿宋" w:cs="仿宋"/>
          <w:sz w:val="32"/>
        </w:rPr>
        <w:pict>
          <v:shape id="_x0000_s1059" o:spid="_x0000_s1059" o:spt="202" type="#_x0000_t202" style="position:absolute;left:0pt;margin-left:127.95pt;margin-top:89.5pt;height:36pt;width:56.25pt;z-index:251668480;mso-width-relative:page;mso-height-relative:page;" fillcolor="#FFFFFF" filled="t" stroked="t" coordsize="21600,21600">
            <v:path/>
            <v:fill type="gradient" on="t" color2="#FFFFFF" angle="90" focus="0%" focussize="0f,0f" focusposition="0f,0f">
              <o:fill type="gradientUnscaled" v:ext="backwardCompatible"/>
            </v:fill>
            <v:stroke weight="1.25pt" color="#FFFFFF"/>
            <v:imagedata o:title=""/>
            <o:lock v:ext="edit" aspectratio="f"/>
            <v:textbox>
              <w:txbxContent>
                <w:p>
                  <w:pPr>
                    <w:rPr>
                      <w:rFonts w:hint="eastAsia" w:eastAsia="仿宋_GB2312"/>
                      <w:sz w:val="22"/>
                      <w:szCs w:val="22"/>
                      <w:lang w:val="en-US" w:eastAsia="zh-CN"/>
                    </w:rPr>
                  </w:pPr>
                  <w:r>
                    <w:rPr>
                      <w:rFonts w:hint="eastAsia"/>
                      <w:sz w:val="22"/>
                      <w:szCs w:val="22"/>
                      <w:lang w:val="en-US" w:eastAsia="zh-CN"/>
                    </w:rPr>
                    <w:t>43天</w:t>
                  </w:r>
                </w:p>
              </w:txbxContent>
            </v:textbox>
          </v:shape>
        </w:pict>
      </w:r>
      <w:r>
        <w:rPr>
          <w:rFonts w:hint="eastAsia" w:ascii="仿宋" w:hAnsi="仿宋" w:eastAsia="仿宋" w:cs="仿宋"/>
          <w:sz w:val="32"/>
        </w:rPr>
        <w:pict>
          <v:shape id="_x0000_s1058" o:spid="_x0000_s1058" o:spt="202" type="#_x0000_t202" style="position:absolute;left:0pt;margin-left:46.2pt;margin-top:67.75pt;height:31.5pt;width:48pt;z-index:251667456;mso-width-relative:page;mso-height-relative:page;" filled="f" stroked="f" coordsize="21600,21600">
            <v:path/>
            <v:fill on="f" focussize="0,0"/>
            <v:stroke on="f" weight="1.25pt"/>
            <v:imagedata o:title=""/>
            <o:lock v:ext="edit" aspectratio="f"/>
            <v:textbox>
              <w:txbxContent>
                <w:p>
                  <w:pPr>
                    <w:rPr>
                      <w:rFonts w:hint="eastAsia" w:eastAsia="仿宋_GB2312"/>
                      <w:sz w:val="22"/>
                      <w:szCs w:val="22"/>
                      <w:lang w:val="en-US" w:eastAsia="zh-CN"/>
                    </w:rPr>
                  </w:pPr>
                  <w:r>
                    <w:rPr>
                      <w:rFonts w:hint="eastAsia"/>
                      <w:sz w:val="22"/>
                      <w:szCs w:val="22"/>
                      <w:lang w:val="en-US" w:eastAsia="zh-CN"/>
                    </w:rPr>
                    <w:t>9.7天</w:t>
                  </w:r>
                </w:p>
              </w:txbxContent>
            </v:textbox>
          </v:shape>
        </w:pict>
      </w:r>
      <w:r>
        <w:rPr>
          <w:rFonts w:hint="eastAsia" w:ascii="仿宋" w:hAnsi="仿宋" w:eastAsia="仿宋" w:cs="仿宋"/>
          <w:sz w:val="32"/>
        </w:rPr>
        <w:pict>
          <v:shape id="_x0000_s1054" o:spid="_x0000_s1054" o:spt="13" type="#_x0000_t13" style="position:absolute;left:0pt;margin-left:179.25pt;margin-top:206.3pt;height:14.3pt;width:29.55pt;rotation:1769472f;z-index:251792384;mso-width-relative:page;mso-height-relative:page;" fillcolor="#00B050" filled="t" stroked="t" coordsize="21600,21600" adj="16200,5400">
            <v:path/>
            <v:fill on="t" color2="#FFFFFF" focussize="0,0"/>
            <v:stroke weight="1.25pt" color="#739CC3" joinstyle="miter"/>
            <v:imagedata o:title=""/>
            <o:lock v:ext="edit" aspectratio="f"/>
          </v:shape>
        </w:pict>
      </w:r>
      <w:r>
        <w:rPr>
          <w:rFonts w:hint="eastAsia" w:ascii="仿宋" w:hAnsi="仿宋" w:eastAsia="仿宋" w:cs="仿宋"/>
          <w:sz w:val="32"/>
        </w:rPr>
        <w:pict>
          <v:shape id="_x0000_s1052" o:spid="_x0000_s1052" o:spt="13" type="#_x0000_t13" style="position:absolute;left:0pt;margin-left:42.8pt;margin-top:106.65pt;height:13.35pt;width:32.4pt;rotation:2162688f;z-index:251667456;mso-width-relative:page;mso-height-relative:page;" fillcolor="#00B050" filled="t" stroked="t" coordsize="21600,21600" adj="16200,5400">
            <v:path/>
            <v:fill on="t" color2="#FFFFFF" focussize="0,0"/>
            <v:stroke weight="1.25pt" color="#739CC3"/>
            <v:imagedata o:title=""/>
            <o:lock v:ext="edit" aspectratio="f"/>
          </v:shape>
        </w:pict>
      </w:r>
    </w:p>
    <w:p>
      <w:pPr>
        <w:spacing w:line="520" w:lineRule="exact"/>
        <w:ind w:firstLine="480" w:firstLineChars="150"/>
        <w:rPr>
          <w:rFonts w:hint="eastAsia" w:ascii="仿宋" w:hAnsi="仿宋" w:eastAsia="仿宋" w:cs="仿宋"/>
          <w:color w:val="FF0000"/>
        </w:rPr>
      </w:pPr>
      <w:r>
        <w:rPr>
          <w:rFonts w:hint="eastAsia" w:ascii="仿宋" w:hAnsi="仿宋" w:eastAsia="仿宋" w:cs="仿宋"/>
        </w:rPr>
        <w:t>（三）小额诉讼及简易程序适用情况</w:t>
      </w:r>
    </w:p>
    <w:p>
      <w:pPr>
        <w:spacing w:line="520" w:lineRule="exact"/>
        <w:ind w:firstLine="640" w:firstLineChars="200"/>
        <w:rPr>
          <w:rFonts w:hint="eastAsia" w:ascii="仿宋" w:hAnsi="仿宋" w:eastAsia="仿宋" w:cs="仿宋"/>
          <w:color w:val="000000" w:themeColor="text1"/>
        </w:rPr>
      </w:pPr>
      <w:r>
        <w:rPr>
          <w:rFonts w:hint="eastAsia" w:ascii="仿宋" w:hAnsi="仿宋" w:eastAsia="仿宋" w:cs="仿宋"/>
          <w:color w:val="000000" w:themeColor="text1"/>
        </w:rPr>
        <w:t>2017年度各基层院共适用小额诉讼程序审理案件229</w:t>
      </w:r>
      <w:r>
        <w:rPr>
          <w:rFonts w:hint="eastAsia" w:ascii="仿宋" w:hAnsi="仿宋" w:eastAsia="仿宋" w:cs="仿宋"/>
          <w:color w:val="000000" w:themeColor="text1"/>
        </w:rPr>
        <w:t>件，适用率</w:t>
      </w:r>
      <w:r>
        <w:rPr>
          <w:rFonts w:hint="eastAsia" w:ascii="仿宋" w:hAnsi="仿宋" w:eastAsia="仿宋" w:cs="仿宋"/>
          <w:color w:val="000000" w:themeColor="text1"/>
        </w:rPr>
        <w:t>达到100</w:t>
      </w:r>
      <w:r>
        <w:rPr>
          <w:rFonts w:hint="eastAsia" w:ascii="仿宋" w:hAnsi="仿宋" w:eastAsia="仿宋" w:cs="仿宋"/>
          <w:color w:val="000000" w:themeColor="text1"/>
        </w:rPr>
        <w:t>%。</w:t>
      </w:r>
    </w:p>
    <w:p>
      <w:pPr>
        <w:spacing w:line="520" w:lineRule="exact"/>
        <w:ind w:firstLine="640" w:firstLineChars="200"/>
        <w:rPr>
          <w:rFonts w:hint="eastAsia" w:ascii="仿宋" w:hAnsi="仿宋" w:eastAsia="仿宋" w:cs="仿宋"/>
          <w:color w:val="FF0000"/>
        </w:rPr>
      </w:pPr>
      <w:r>
        <w:rPr>
          <w:rFonts w:hint="eastAsia" w:ascii="仿宋" w:hAnsi="仿宋" w:eastAsia="仿宋" w:cs="仿宋"/>
        </w:rPr>
        <w:t>各基层院一审已结案件中，</w:t>
      </w:r>
      <w:r>
        <w:rPr>
          <w:rFonts w:hint="eastAsia" w:ascii="仿宋" w:hAnsi="仿宋" w:eastAsia="仿宋" w:cs="仿宋"/>
          <w:color w:val="000000" w:themeColor="text1"/>
        </w:rPr>
        <w:t>全年共适用简易程序审理案件501件，占民事总收案数91.93%。</w:t>
      </w:r>
    </w:p>
    <w:p>
      <w:pPr>
        <w:spacing w:line="520" w:lineRule="exact"/>
        <w:ind w:firstLine="643" w:firstLineChars="200"/>
        <w:rPr>
          <w:rFonts w:hint="eastAsia" w:ascii="仿宋" w:hAnsi="仿宋" w:eastAsia="仿宋" w:cs="仿宋"/>
          <w:b/>
        </w:rPr>
      </w:pPr>
      <w:r>
        <w:rPr>
          <w:rFonts w:hint="eastAsia" w:ascii="仿宋" w:hAnsi="仿宋" w:eastAsia="仿宋" w:cs="仿宋"/>
          <w:b/>
        </w:rPr>
        <w:t>四、与审判管理相关的其他指标</w:t>
      </w:r>
    </w:p>
    <w:p>
      <w:pPr>
        <w:spacing w:line="520" w:lineRule="exact"/>
        <w:ind w:firstLine="480" w:firstLineChars="150"/>
        <w:rPr>
          <w:rFonts w:hint="eastAsia" w:ascii="仿宋" w:hAnsi="仿宋" w:eastAsia="仿宋" w:cs="仿宋"/>
        </w:rPr>
      </w:pPr>
      <w:r>
        <w:rPr>
          <w:rFonts w:hint="eastAsia" w:ascii="仿宋" w:hAnsi="仿宋" w:eastAsia="仿宋" w:cs="仿宋"/>
        </w:rPr>
        <w:t>（一）裁判文书上网情况</w:t>
      </w:r>
    </w:p>
    <w:p>
      <w:pPr>
        <w:spacing w:line="520" w:lineRule="exact"/>
        <w:ind w:firstLine="640" w:firstLineChars="200"/>
        <w:rPr>
          <w:rFonts w:hint="eastAsia" w:ascii="仿宋" w:hAnsi="仿宋" w:eastAsia="仿宋" w:cs="仿宋"/>
          <w:lang w:eastAsia="zh-CN"/>
        </w:rPr>
      </w:pPr>
      <w:r>
        <w:rPr>
          <w:rFonts w:hint="eastAsia" w:ascii="仿宋" w:hAnsi="仿宋" w:eastAsia="仿宋" w:cs="仿宋"/>
        </w:rPr>
        <w:t>2017年度两级法院在中国裁判文书网上传裁判文书641</w:t>
      </w:r>
      <w:r>
        <w:rPr>
          <w:rFonts w:hint="eastAsia" w:ascii="仿宋" w:hAnsi="仿宋" w:eastAsia="仿宋" w:cs="仿宋"/>
        </w:rPr>
        <w:t>篇</w:t>
      </w:r>
      <w:r>
        <w:rPr>
          <w:rFonts w:hint="eastAsia" w:ascii="仿宋" w:hAnsi="仿宋" w:eastAsia="仿宋" w:cs="仿宋"/>
        </w:rPr>
        <w:t>，公开不上网信息408条，上网率93.71%</w:t>
      </w:r>
      <w:r>
        <w:rPr>
          <w:rFonts w:hint="eastAsia" w:ascii="仿宋" w:hAnsi="仿宋" w:eastAsia="仿宋" w:cs="仿宋"/>
        </w:rPr>
        <w:t>。其中，中院上传</w:t>
      </w:r>
      <w:r>
        <w:rPr>
          <w:rFonts w:hint="eastAsia" w:ascii="仿宋" w:hAnsi="仿宋" w:eastAsia="仿宋" w:cs="仿宋"/>
        </w:rPr>
        <w:t>68</w:t>
      </w:r>
      <w:r>
        <w:rPr>
          <w:rFonts w:hint="eastAsia" w:ascii="仿宋" w:hAnsi="仿宋" w:eastAsia="仿宋" w:cs="仿宋"/>
        </w:rPr>
        <w:t>篇，</w:t>
      </w:r>
      <w:r>
        <w:rPr>
          <w:rFonts w:hint="eastAsia" w:ascii="仿宋" w:hAnsi="仿宋" w:eastAsia="仿宋" w:cs="仿宋"/>
        </w:rPr>
        <w:t>公开不上网信息10条，上网率97.14%；</w:t>
      </w:r>
      <w:r>
        <w:rPr>
          <w:rFonts w:hint="eastAsia" w:ascii="仿宋" w:hAnsi="仿宋" w:eastAsia="仿宋" w:cs="仿宋"/>
        </w:rPr>
        <w:t>各基层院上传</w:t>
      </w:r>
      <w:r>
        <w:rPr>
          <w:rFonts w:hint="eastAsia" w:ascii="仿宋" w:hAnsi="仿宋" w:eastAsia="仿宋" w:cs="仿宋"/>
        </w:rPr>
        <w:t>573</w:t>
      </w:r>
      <w:r>
        <w:rPr>
          <w:rFonts w:hint="eastAsia" w:ascii="仿宋" w:hAnsi="仿宋" w:eastAsia="仿宋" w:cs="仿宋"/>
        </w:rPr>
        <w:t>篇</w:t>
      </w:r>
      <w:r>
        <w:rPr>
          <w:rFonts w:hint="eastAsia" w:ascii="仿宋" w:hAnsi="仿宋" w:eastAsia="仿宋" w:cs="仿宋"/>
        </w:rPr>
        <w:t>，公开不上网信息398条，临江上网率90.52%，江源上网率100%，白石山上网率83.95%，抚松上网率95.62%，红石上网率92.15%。</w:t>
      </w:r>
      <w:r>
        <w:rPr>
          <w:rFonts w:hint="eastAsia" w:ascii="仿宋" w:hAnsi="仿宋" w:eastAsia="仿宋" w:cs="仿宋"/>
          <w:lang w:eastAsia="zh-CN"/>
        </w:rPr>
        <w:t>（见图表四）</w:t>
      </w:r>
    </w:p>
    <w:p>
      <w:pPr>
        <w:spacing w:line="520" w:lineRule="exact"/>
        <w:ind w:firstLine="640" w:firstLineChars="200"/>
        <w:rPr>
          <w:rFonts w:hint="eastAsia" w:ascii="仿宋" w:hAnsi="仿宋" w:eastAsia="仿宋" w:cs="仿宋"/>
          <w:lang w:eastAsia="zh-CN"/>
        </w:rPr>
      </w:pPr>
    </w:p>
    <w:tbl>
      <w:tblPr>
        <w:tblStyle w:val="11"/>
        <w:tblW w:w="86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9"/>
        <w:gridCol w:w="1640"/>
        <w:gridCol w:w="1600"/>
        <w:gridCol w:w="1500"/>
        <w:gridCol w:w="1695"/>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序号</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法院</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结案总数</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公开信息数</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上网数</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b/>
                <w:bCs/>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上网率</w:t>
            </w:r>
            <w:r>
              <w:rPr>
                <w:rFonts w:hint="eastAsia" w:ascii="仿宋" w:hAnsi="仿宋" w:eastAsia="仿宋" w:cs="仿宋"/>
                <w:b/>
                <w:bCs/>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中院</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68</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97.14</w:t>
            </w:r>
            <w:r>
              <w:rPr>
                <w:rFonts w:hint="eastAsia" w:ascii="仿宋" w:hAnsi="仿宋" w:eastAsia="仿宋" w:cs="仿宋"/>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红石院</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389</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236</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141</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92.15</w:t>
            </w:r>
            <w:r>
              <w:rPr>
                <w:rFonts w:hint="eastAsia" w:ascii="仿宋" w:hAnsi="仿宋" w:eastAsia="仿宋" w:cs="仿宋"/>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白石山院</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29</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68</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83.95</w:t>
            </w:r>
            <w:r>
              <w:rPr>
                <w:rFonts w:hint="eastAsia" w:ascii="仿宋" w:hAnsi="仿宋" w:eastAsia="仿宋" w:cs="仿宋"/>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临江院</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138</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43</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86</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90.52</w:t>
            </w:r>
            <w:r>
              <w:rPr>
                <w:rFonts w:hint="eastAsia" w:ascii="仿宋" w:hAnsi="仿宋" w:eastAsia="仿宋" w:cs="仿宋"/>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抚松院</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224</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64</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153</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95.62</w:t>
            </w:r>
            <w:r>
              <w:rPr>
                <w:rFonts w:hint="eastAsia" w:ascii="仿宋" w:hAnsi="仿宋" w:eastAsia="仿宋" w:cs="仿宋"/>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江源院</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151</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26</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125</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r>
              <w:rPr>
                <w:rStyle w:val="24"/>
                <w:rFonts w:hint="eastAsia" w:ascii="仿宋" w:hAnsi="仿宋" w:eastAsia="仿宋" w:cs="仿宋"/>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4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总计</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1092</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408</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641</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b/>
                <w:bCs/>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93.71</w:t>
            </w:r>
            <w:r>
              <w:rPr>
                <w:rFonts w:hint="eastAsia" w:ascii="仿宋" w:hAnsi="仿宋" w:eastAsia="仿宋" w:cs="仿宋"/>
                <w:b/>
                <w:bCs/>
                <w:i w:val="0"/>
                <w:color w:val="000000"/>
                <w:kern w:val="0"/>
                <w:sz w:val="20"/>
                <w:szCs w:val="20"/>
                <w:u w:val="none"/>
                <w:lang w:val="en-US" w:eastAsia="zh-CN" w:bidi="ar"/>
              </w:rPr>
              <w:t>%</w:t>
            </w:r>
          </w:p>
        </w:tc>
      </w:tr>
    </w:tbl>
    <w:p>
      <w:pPr>
        <w:spacing w:line="520" w:lineRule="exact"/>
        <w:jc w:val="center"/>
        <w:rPr>
          <w:rFonts w:hint="eastAsia" w:ascii="仿宋" w:hAnsi="仿宋" w:eastAsia="仿宋" w:cs="仿宋"/>
          <w:lang w:eastAsia="zh-CN"/>
        </w:rPr>
      </w:pPr>
      <w:r>
        <w:rPr>
          <w:rFonts w:hint="eastAsia" w:ascii="仿宋" w:hAnsi="仿宋" w:eastAsia="仿宋" w:cs="仿宋"/>
          <w:lang w:eastAsia="zh-CN"/>
        </w:rPr>
        <w:t>（图表四）</w:t>
      </w:r>
    </w:p>
    <w:p>
      <w:pPr>
        <w:spacing w:line="520" w:lineRule="exact"/>
        <w:jc w:val="center"/>
        <w:rPr>
          <w:rFonts w:hint="eastAsia" w:ascii="仿宋" w:hAnsi="仿宋" w:eastAsia="仿宋" w:cs="仿宋"/>
          <w:lang w:eastAsia="zh-CN"/>
        </w:rPr>
      </w:pPr>
    </w:p>
    <w:p>
      <w:pPr>
        <w:spacing w:line="520" w:lineRule="exact"/>
        <w:ind w:firstLine="480" w:firstLineChars="150"/>
        <w:rPr>
          <w:rFonts w:hint="eastAsia" w:ascii="仿宋" w:hAnsi="仿宋" w:eastAsia="仿宋" w:cs="仿宋"/>
          <w:color w:val="000000" w:themeColor="text1"/>
        </w:rPr>
      </w:pPr>
      <w:r>
        <w:rPr>
          <w:rFonts w:hint="eastAsia" w:ascii="仿宋" w:hAnsi="仿宋" w:eastAsia="仿宋" w:cs="仿宋"/>
          <w:color w:val="000000" w:themeColor="text1"/>
        </w:rPr>
        <w:t>（二）法官办案情况</w:t>
      </w:r>
    </w:p>
    <w:p>
      <w:pPr>
        <w:spacing w:line="520" w:lineRule="exact"/>
        <w:ind w:firstLine="480" w:firstLineChars="150"/>
        <w:rPr>
          <w:rFonts w:hint="eastAsia" w:ascii="仿宋" w:hAnsi="仿宋" w:eastAsia="仿宋" w:cs="仿宋"/>
          <w:color w:val="000000" w:themeColor="text1"/>
        </w:rPr>
      </w:pPr>
      <w:r>
        <w:rPr>
          <w:rFonts w:hint="eastAsia" w:ascii="仿宋" w:hAnsi="仿宋" w:eastAsia="仿宋" w:cs="仿宋"/>
          <w:color w:val="000000" w:themeColor="text1"/>
        </w:rPr>
        <w:t>两级法院员额法官共有</w:t>
      </w:r>
      <w:r>
        <w:rPr>
          <w:rFonts w:hint="eastAsia" w:ascii="仿宋" w:hAnsi="仿宋" w:eastAsia="仿宋" w:cs="仿宋"/>
          <w:color w:val="000000" w:themeColor="text1"/>
        </w:rPr>
        <w:t>66人，人均受案</w:t>
      </w:r>
      <w:r>
        <w:rPr>
          <w:rFonts w:hint="eastAsia" w:ascii="仿宋" w:hAnsi="仿宋" w:eastAsia="仿宋" w:cs="仿宋"/>
          <w:color w:val="000000" w:themeColor="text1"/>
        </w:rPr>
        <w:t>13.3</w:t>
      </w:r>
      <w:r>
        <w:rPr>
          <w:rFonts w:hint="eastAsia" w:ascii="仿宋" w:hAnsi="仿宋" w:eastAsia="仿宋" w:cs="仿宋"/>
          <w:color w:val="000000" w:themeColor="text1"/>
        </w:rPr>
        <w:t>件，人均结案</w:t>
      </w:r>
      <w:r>
        <w:rPr>
          <w:rFonts w:hint="eastAsia" w:ascii="仿宋" w:hAnsi="仿宋" w:eastAsia="仿宋" w:cs="仿宋"/>
          <w:color w:val="000000" w:themeColor="text1"/>
        </w:rPr>
        <w:t>12.77</w:t>
      </w:r>
      <w:r>
        <w:rPr>
          <w:rFonts w:hint="eastAsia" w:ascii="仿宋" w:hAnsi="仿宋" w:eastAsia="仿宋" w:cs="仿宋"/>
          <w:color w:val="000000" w:themeColor="text1"/>
        </w:rPr>
        <w:t>件。中院院领导承办</w:t>
      </w:r>
      <w:r>
        <w:rPr>
          <w:rFonts w:hint="eastAsia" w:ascii="仿宋" w:hAnsi="仿宋" w:eastAsia="仿宋" w:cs="仿宋"/>
          <w:color w:val="000000" w:themeColor="text1"/>
        </w:rPr>
        <w:t>7</w:t>
      </w:r>
      <w:r>
        <w:rPr>
          <w:rFonts w:hint="eastAsia" w:ascii="仿宋" w:hAnsi="仿宋" w:eastAsia="仿宋" w:cs="仿宋"/>
          <w:color w:val="000000" w:themeColor="text1"/>
        </w:rPr>
        <w:t>件</w:t>
      </w:r>
      <w:r>
        <w:rPr>
          <w:rFonts w:hint="eastAsia" w:ascii="仿宋" w:hAnsi="仿宋" w:eastAsia="仿宋" w:cs="仿宋"/>
          <w:color w:val="000000" w:themeColor="text1"/>
        </w:rPr>
        <w:t>（已结7件）</w:t>
      </w:r>
      <w:r>
        <w:rPr>
          <w:rFonts w:hint="eastAsia" w:ascii="仿宋" w:hAnsi="仿宋" w:eastAsia="仿宋" w:cs="仿宋"/>
          <w:color w:val="000000" w:themeColor="text1"/>
        </w:rPr>
        <w:t>，合议</w:t>
      </w:r>
      <w:r>
        <w:rPr>
          <w:rFonts w:hint="eastAsia" w:ascii="仿宋" w:hAnsi="仿宋" w:eastAsia="仿宋" w:cs="仿宋"/>
          <w:color w:val="000000" w:themeColor="text1"/>
        </w:rPr>
        <w:t>4</w:t>
      </w:r>
      <w:r>
        <w:rPr>
          <w:rFonts w:hint="eastAsia" w:ascii="仿宋" w:hAnsi="仿宋" w:eastAsia="仿宋" w:cs="仿宋"/>
          <w:color w:val="000000" w:themeColor="text1"/>
        </w:rPr>
        <w:t>件</w:t>
      </w:r>
      <w:r>
        <w:rPr>
          <w:rFonts w:hint="eastAsia" w:ascii="仿宋" w:hAnsi="仿宋" w:eastAsia="仿宋" w:cs="仿宋"/>
          <w:color w:val="000000" w:themeColor="text1"/>
        </w:rPr>
        <w:t>（已结3件）</w:t>
      </w:r>
      <w:r>
        <w:rPr>
          <w:rFonts w:hint="eastAsia" w:ascii="仿宋" w:hAnsi="仿宋" w:eastAsia="仿宋" w:cs="仿宋"/>
          <w:color w:val="000000" w:themeColor="text1"/>
        </w:rPr>
        <w:t>；人均受案</w:t>
      </w:r>
      <w:r>
        <w:rPr>
          <w:rFonts w:hint="eastAsia" w:ascii="仿宋" w:hAnsi="仿宋" w:eastAsia="仿宋" w:cs="仿宋"/>
          <w:color w:val="000000" w:themeColor="text1"/>
        </w:rPr>
        <w:t>2.75</w:t>
      </w:r>
      <w:r>
        <w:rPr>
          <w:rFonts w:hint="eastAsia" w:ascii="仿宋" w:hAnsi="仿宋" w:eastAsia="仿宋" w:cs="仿宋"/>
          <w:color w:val="000000" w:themeColor="text1"/>
        </w:rPr>
        <w:t>件，人均结案</w:t>
      </w:r>
      <w:r>
        <w:rPr>
          <w:rFonts w:hint="eastAsia" w:ascii="仿宋" w:hAnsi="仿宋" w:eastAsia="仿宋" w:cs="仿宋"/>
          <w:color w:val="000000" w:themeColor="text1"/>
        </w:rPr>
        <w:t>2.5</w:t>
      </w:r>
      <w:r>
        <w:rPr>
          <w:rFonts w:hint="eastAsia" w:ascii="仿宋" w:hAnsi="仿宋" w:eastAsia="仿宋" w:cs="仿宋"/>
          <w:color w:val="000000" w:themeColor="text1"/>
        </w:rPr>
        <w:t>件。</w:t>
      </w:r>
    </w:p>
    <w:p>
      <w:pPr>
        <w:spacing w:line="520" w:lineRule="exact"/>
        <w:ind w:firstLine="480" w:firstLineChars="150"/>
        <w:rPr>
          <w:rFonts w:hint="eastAsia" w:ascii="仿宋" w:hAnsi="仿宋" w:eastAsia="仿宋" w:cs="仿宋"/>
          <w:color w:val="000000"/>
        </w:rPr>
      </w:pPr>
      <w:r>
        <w:rPr>
          <w:rFonts w:hint="eastAsia" w:ascii="仿宋" w:hAnsi="仿宋" w:eastAsia="仿宋" w:cs="仿宋"/>
          <w:color w:val="000000"/>
        </w:rPr>
        <w:t>（三）电子法院及科技法庭应用情况</w:t>
      </w:r>
    </w:p>
    <w:p>
      <w:pPr>
        <w:spacing w:line="520" w:lineRule="exact"/>
        <w:ind w:firstLine="645"/>
        <w:rPr>
          <w:rFonts w:hint="eastAsia" w:ascii="仿宋" w:hAnsi="仿宋" w:eastAsia="仿宋" w:cs="仿宋"/>
        </w:rPr>
      </w:pPr>
      <w:r>
        <w:rPr>
          <w:rFonts w:hint="eastAsia" w:ascii="仿宋" w:hAnsi="仿宋" w:eastAsia="仿宋" w:cs="仿宋"/>
        </w:rPr>
        <w:t>1、电子法院应用情况</w:t>
      </w:r>
    </w:p>
    <w:p>
      <w:pPr>
        <w:spacing w:line="520" w:lineRule="exact"/>
        <w:ind w:firstLine="645"/>
        <w:rPr>
          <w:rFonts w:hint="eastAsia" w:ascii="仿宋" w:hAnsi="仿宋" w:eastAsia="仿宋" w:cs="仿宋"/>
          <w:lang w:eastAsia="zh-CN"/>
        </w:rPr>
      </w:pPr>
      <w:r>
        <w:rPr>
          <w:rFonts w:hint="eastAsia" w:ascii="仿宋" w:hAnsi="仿宋" w:eastAsia="仿宋" w:cs="仿宋"/>
        </w:rPr>
        <w:t>2017年度两级法院网上立案596件，网上阅卷6件，电子送达1386件，云会议213件，证据交换55件，审诉辩142件。</w:t>
      </w:r>
      <w:r>
        <w:rPr>
          <w:rFonts w:hint="eastAsia" w:ascii="仿宋" w:hAnsi="仿宋" w:eastAsia="仿宋" w:cs="仿宋"/>
          <w:lang w:eastAsia="zh-CN"/>
        </w:rPr>
        <w:t>（见图表五）</w:t>
      </w:r>
    </w:p>
    <w:p>
      <w:pPr>
        <w:spacing w:line="520" w:lineRule="exact"/>
        <w:ind w:firstLine="645"/>
        <w:rPr>
          <w:rFonts w:hint="eastAsia" w:ascii="仿宋" w:hAnsi="仿宋" w:eastAsia="仿宋" w:cs="仿宋"/>
          <w:lang w:eastAsia="zh-CN"/>
        </w:rPr>
      </w:pPr>
    </w:p>
    <w:p>
      <w:pPr>
        <w:spacing w:line="520" w:lineRule="exact"/>
        <w:ind w:firstLine="645"/>
        <w:rPr>
          <w:rFonts w:hint="eastAsia" w:ascii="仿宋" w:hAnsi="仿宋" w:eastAsia="仿宋" w:cs="仿宋"/>
          <w:lang w:eastAsia="zh-CN"/>
        </w:rPr>
      </w:pPr>
    </w:p>
    <w:p>
      <w:pPr>
        <w:spacing w:line="520" w:lineRule="exact"/>
        <w:rPr>
          <w:rFonts w:hint="eastAsia" w:ascii="仿宋" w:hAnsi="仿宋" w:eastAsia="仿宋" w:cs="仿宋"/>
          <w:lang w:eastAsia="zh-CN"/>
        </w:rPr>
      </w:pPr>
    </w:p>
    <w:tbl>
      <w:tblPr>
        <w:tblStyle w:val="11"/>
        <w:tblW w:w="89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37"/>
        <w:gridCol w:w="851"/>
        <w:gridCol w:w="856"/>
        <w:gridCol w:w="1020"/>
        <w:gridCol w:w="1200"/>
        <w:gridCol w:w="885"/>
        <w:gridCol w:w="1020"/>
        <w:gridCol w:w="1380"/>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5" w:hRule="atLeast"/>
        </w:trPr>
        <w:tc>
          <w:tcPr>
            <w:tcW w:w="5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序号</w:t>
            </w:r>
          </w:p>
        </w:tc>
        <w:tc>
          <w:tcPr>
            <w:tcW w:w="851" w:type="dxa"/>
            <w:vMerge w:val="restar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法院</w:t>
            </w:r>
          </w:p>
        </w:tc>
        <w:tc>
          <w:tcPr>
            <w:tcW w:w="856"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网上立案</w:t>
            </w:r>
          </w:p>
        </w:tc>
        <w:tc>
          <w:tcPr>
            <w:tcW w:w="102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电子送达</w:t>
            </w:r>
          </w:p>
        </w:tc>
        <w:tc>
          <w:tcPr>
            <w:tcW w:w="120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网上阅卷</w:t>
            </w:r>
          </w:p>
        </w:tc>
        <w:tc>
          <w:tcPr>
            <w:tcW w:w="1905" w:type="dxa"/>
            <w:gridSpan w:val="2"/>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云会议</w:t>
            </w:r>
          </w:p>
        </w:tc>
        <w:tc>
          <w:tcPr>
            <w:tcW w:w="138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证据交换</w:t>
            </w:r>
          </w:p>
        </w:tc>
        <w:tc>
          <w:tcPr>
            <w:tcW w:w="122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审诉辩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i w:val="0"/>
                <w:color w:val="000000"/>
                <w:sz w:val="18"/>
                <w:szCs w:val="18"/>
                <w:u w:val="none"/>
              </w:rPr>
            </w:pPr>
          </w:p>
        </w:tc>
        <w:tc>
          <w:tcPr>
            <w:tcW w:w="851"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i w:val="0"/>
                <w:color w:val="000000"/>
                <w:sz w:val="18"/>
                <w:szCs w:val="18"/>
                <w:u w:val="none"/>
              </w:rPr>
            </w:pPr>
          </w:p>
        </w:tc>
        <w:tc>
          <w:tcPr>
            <w:tcW w:w="856"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PC端</w:t>
            </w:r>
          </w:p>
        </w:tc>
        <w:tc>
          <w:tcPr>
            <w:tcW w:w="10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PC端</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PC端</w:t>
            </w:r>
          </w:p>
        </w:tc>
        <w:tc>
          <w:tcPr>
            <w:tcW w:w="88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PC端</w:t>
            </w:r>
          </w:p>
        </w:tc>
        <w:tc>
          <w:tcPr>
            <w:tcW w:w="10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APP端</w:t>
            </w:r>
          </w:p>
        </w:tc>
        <w:tc>
          <w:tcPr>
            <w:tcW w:w="13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PC端</w:t>
            </w:r>
          </w:p>
        </w:tc>
        <w:tc>
          <w:tcPr>
            <w:tcW w:w="12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PC端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3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1</w:t>
            </w:r>
          </w:p>
        </w:tc>
        <w:tc>
          <w:tcPr>
            <w:tcW w:w="85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中院</w:t>
            </w:r>
          </w:p>
        </w:tc>
        <w:tc>
          <w:tcPr>
            <w:tcW w:w="856"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10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88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10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13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12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3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2</w:t>
            </w:r>
          </w:p>
        </w:tc>
        <w:tc>
          <w:tcPr>
            <w:tcW w:w="85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白石山院</w:t>
            </w:r>
          </w:p>
        </w:tc>
        <w:tc>
          <w:tcPr>
            <w:tcW w:w="856"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57</w:t>
            </w:r>
          </w:p>
        </w:tc>
        <w:tc>
          <w:tcPr>
            <w:tcW w:w="10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75</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88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c>
          <w:tcPr>
            <w:tcW w:w="10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13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12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3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3</w:t>
            </w:r>
          </w:p>
        </w:tc>
        <w:tc>
          <w:tcPr>
            <w:tcW w:w="85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红石院</w:t>
            </w:r>
          </w:p>
        </w:tc>
        <w:tc>
          <w:tcPr>
            <w:tcW w:w="856"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283</w:t>
            </w:r>
          </w:p>
        </w:tc>
        <w:tc>
          <w:tcPr>
            <w:tcW w:w="10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464</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88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c>
          <w:tcPr>
            <w:tcW w:w="10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13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12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3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4</w:t>
            </w:r>
          </w:p>
        </w:tc>
        <w:tc>
          <w:tcPr>
            <w:tcW w:w="85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临江院</w:t>
            </w:r>
          </w:p>
        </w:tc>
        <w:tc>
          <w:tcPr>
            <w:tcW w:w="856"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74</w:t>
            </w:r>
          </w:p>
        </w:tc>
        <w:tc>
          <w:tcPr>
            <w:tcW w:w="10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39</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88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10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13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c>
          <w:tcPr>
            <w:tcW w:w="12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3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5</w:t>
            </w:r>
          </w:p>
        </w:tc>
        <w:tc>
          <w:tcPr>
            <w:tcW w:w="85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抚松院</w:t>
            </w:r>
          </w:p>
        </w:tc>
        <w:tc>
          <w:tcPr>
            <w:tcW w:w="856"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125</w:t>
            </w:r>
          </w:p>
        </w:tc>
        <w:tc>
          <w:tcPr>
            <w:tcW w:w="10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44</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88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w:t>
            </w:r>
          </w:p>
        </w:tc>
        <w:tc>
          <w:tcPr>
            <w:tcW w:w="10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13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38</w:t>
            </w:r>
          </w:p>
        </w:tc>
        <w:tc>
          <w:tcPr>
            <w:tcW w:w="12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3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6</w:t>
            </w:r>
          </w:p>
        </w:tc>
        <w:tc>
          <w:tcPr>
            <w:tcW w:w="85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江源院</w:t>
            </w:r>
          </w:p>
        </w:tc>
        <w:tc>
          <w:tcPr>
            <w:tcW w:w="856"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55</w:t>
            </w:r>
          </w:p>
        </w:tc>
        <w:tc>
          <w:tcPr>
            <w:tcW w:w="10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751</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c>
          <w:tcPr>
            <w:tcW w:w="88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173</w:t>
            </w:r>
          </w:p>
        </w:tc>
        <w:tc>
          <w:tcPr>
            <w:tcW w:w="10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13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w:t>
            </w:r>
          </w:p>
        </w:tc>
        <w:tc>
          <w:tcPr>
            <w:tcW w:w="12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388"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合计</w:t>
            </w:r>
          </w:p>
        </w:tc>
        <w:tc>
          <w:tcPr>
            <w:tcW w:w="856"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596</w:t>
            </w:r>
          </w:p>
        </w:tc>
        <w:tc>
          <w:tcPr>
            <w:tcW w:w="10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1386</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c>
          <w:tcPr>
            <w:tcW w:w="88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210</w:t>
            </w:r>
          </w:p>
        </w:tc>
        <w:tc>
          <w:tcPr>
            <w:tcW w:w="10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13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55</w:t>
            </w:r>
          </w:p>
        </w:tc>
        <w:tc>
          <w:tcPr>
            <w:tcW w:w="12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388"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总计</w:t>
            </w:r>
          </w:p>
        </w:tc>
        <w:tc>
          <w:tcPr>
            <w:tcW w:w="856"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596</w:t>
            </w:r>
          </w:p>
        </w:tc>
        <w:tc>
          <w:tcPr>
            <w:tcW w:w="10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1386</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c>
          <w:tcPr>
            <w:tcW w:w="190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213</w:t>
            </w:r>
          </w:p>
        </w:tc>
        <w:tc>
          <w:tcPr>
            <w:tcW w:w="13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55</w:t>
            </w:r>
          </w:p>
        </w:tc>
        <w:tc>
          <w:tcPr>
            <w:tcW w:w="12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142</w:t>
            </w:r>
          </w:p>
        </w:tc>
      </w:tr>
    </w:tbl>
    <w:p>
      <w:pPr>
        <w:spacing w:line="520" w:lineRule="exact"/>
        <w:jc w:val="center"/>
        <w:rPr>
          <w:rFonts w:hint="eastAsia" w:ascii="仿宋" w:hAnsi="仿宋" w:eastAsia="仿宋" w:cs="仿宋"/>
          <w:lang w:eastAsia="zh-CN"/>
        </w:rPr>
      </w:pPr>
      <w:r>
        <w:rPr>
          <w:rFonts w:hint="eastAsia" w:ascii="仿宋" w:hAnsi="仿宋" w:eastAsia="仿宋" w:cs="仿宋"/>
          <w:lang w:eastAsia="zh-CN"/>
        </w:rPr>
        <w:t>（图表五）</w:t>
      </w:r>
    </w:p>
    <w:p>
      <w:pPr>
        <w:spacing w:line="520" w:lineRule="exact"/>
        <w:ind w:firstLine="645"/>
        <w:rPr>
          <w:rFonts w:hint="eastAsia" w:ascii="仿宋" w:hAnsi="仿宋" w:eastAsia="仿宋" w:cs="仿宋"/>
          <w:color w:val="000000" w:themeColor="text1"/>
        </w:rPr>
      </w:pPr>
      <w:r>
        <w:rPr>
          <w:rFonts w:hint="eastAsia" w:ascii="仿宋" w:hAnsi="仿宋" w:eastAsia="仿宋" w:cs="仿宋"/>
          <w:color w:val="000000" w:themeColor="text1"/>
        </w:rPr>
        <w:t>2、科技法庭应用情况</w:t>
      </w:r>
    </w:p>
    <w:p>
      <w:pPr>
        <w:spacing w:line="520" w:lineRule="exact"/>
        <w:ind w:firstLine="480" w:firstLineChars="150"/>
        <w:rPr>
          <w:rFonts w:hint="eastAsia" w:ascii="仿宋" w:hAnsi="仿宋" w:eastAsia="仿宋" w:cs="仿宋"/>
        </w:rPr>
      </w:pPr>
      <w:r>
        <w:rPr>
          <w:rFonts w:hint="eastAsia" w:ascii="仿宋" w:hAnsi="仿宋" w:eastAsia="仿宋" w:cs="仿宋"/>
        </w:rPr>
        <w:t>2017年度两级法院开庭530次，使用科技法庭460次，使用率86.8%，其中，庭审直播146件，庭审录播460件。</w:t>
      </w:r>
    </w:p>
    <w:p>
      <w:pPr>
        <w:spacing w:line="520" w:lineRule="exact"/>
        <w:ind w:firstLine="480" w:firstLineChars="150"/>
        <w:rPr>
          <w:rFonts w:hint="eastAsia" w:ascii="仿宋" w:hAnsi="仿宋" w:eastAsia="仿宋" w:cs="仿宋"/>
          <w:color w:val="FF0000"/>
        </w:rPr>
      </w:pPr>
      <w:r>
        <w:rPr>
          <w:rFonts w:hint="eastAsia" w:ascii="仿宋" w:hAnsi="仿宋" w:eastAsia="仿宋" w:cs="仿宋"/>
          <w:color w:val="000000" w:themeColor="text1"/>
        </w:rPr>
        <w:t>（四）归档情况</w:t>
      </w:r>
    </w:p>
    <w:p>
      <w:pPr>
        <w:spacing w:line="520" w:lineRule="exact"/>
        <w:ind w:firstLine="480" w:firstLineChars="150"/>
        <w:rPr>
          <w:rFonts w:hint="eastAsia" w:ascii="仿宋" w:hAnsi="仿宋" w:eastAsia="仿宋" w:cs="仿宋"/>
          <w:color w:val="000000" w:themeColor="text1"/>
        </w:rPr>
      </w:pPr>
      <w:r>
        <w:rPr>
          <w:rFonts w:hint="eastAsia" w:ascii="仿宋" w:hAnsi="仿宋" w:eastAsia="仿宋" w:cs="仿宋"/>
          <w:color w:val="000000" w:themeColor="text1"/>
        </w:rPr>
        <w:t>两级法院归档850件，归档率99.18%。其中，临江院归档率100%，白石山归档率100%，红石院归档率100%，江源院归档率99%，中院归档率98.02%，抚松院归档率97.58%。</w:t>
      </w:r>
      <w:r>
        <w:rPr>
          <w:rFonts w:hint="eastAsia" w:ascii="仿宋" w:hAnsi="仿宋" w:eastAsia="仿宋" w:cs="仿宋"/>
          <w:color w:val="000000" w:themeColor="text1"/>
          <w:lang w:eastAsia="zh-CN"/>
        </w:rPr>
        <w:t>（见图表六）</w:t>
      </w:r>
    </w:p>
    <w:tbl>
      <w:tblPr>
        <w:tblStyle w:val="12"/>
        <w:tblW w:w="88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2"/>
        <w:gridCol w:w="4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602" w:type="dxa"/>
            <w:vAlign w:val="top"/>
          </w:tcPr>
          <w:p>
            <w:pPr>
              <w:spacing w:line="520" w:lineRule="exact"/>
              <w:jc w:val="center"/>
              <w:rPr>
                <w:rFonts w:hint="eastAsia" w:ascii="仿宋" w:hAnsi="仿宋" w:eastAsia="仿宋" w:cs="仿宋"/>
                <w:color w:val="000000" w:themeColor="text1"/>
                <w:vertAlign w:val="baseline"/>
                <w:lang w:eastAsia="zh-CN"/>
              </w:rPr>
            </w:pPr>
            <w:r>
              <w:rPr>
                <w:rFonts w:hint="eastAsia" w:ascii="仿宋" w:hAnsi="仿宋" w:eastAsia="仿宋" w:cs="仿宋"/>
                <w:b/>
                <w:bCs/>
                <w:color w:val="000000" w:themeColor="text1"/>
                <w:vertAlign w:val="baseline"/>
                <w:lang w:eastAsia="zh-CN"/>
              </w:rPr>
              <w:t>法院名称</w:t>
            </w:r>
          </w:p>
        </w:tc>
        <w:tc>
          <w:tcPr>
            <w:tcW w:w="4245" w:type="dxa"/>
            <w:vAlign w:val="top"/>
          </w:tcPr>
          <w:p>
            <w:pPr>
              <w:spacing w:line="520" w:lineRule="exact"/>
              <w:jc w:val="center"/>
              <w:rPr>
                <w:rFonts w:hint="eastAsia" w:ascii="仿宋" w:hAnsi="仿宋" w:eastAsia="仿宋" w:cs="仿宋"/>
                <w:color w:val="000000" w:themeColor="text1"/>
                <w:vertAlign w:val="baseline"/>
                <w:lang w:eastAsia="zh-CN"/>
              </w:rPr>
            </w:pPr>
            <w:r>
              <w:rPr>
                <w:rFonts w:hint="eastAsia" w:ascii="仿宋" w:hAnsi="仿宋" w:eastAsia="仿宋" w:cs="仿宋"/>
                <w:b/>
                <w:bCs/>
                <w:color w:val="000000" w:themeColor="text1"/>
                <w:vertAlign w:val="baseline"/>
                <w:lang w:eastAsia="zh-CN"/>
              </w:rPr>
              <w:t>归档率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602" w:type="dxa"/>
            <w:vAlign w:val="top"/>
          </w:tcPr>
          <w:p>
            <w:pPr>
              <w:spacing w:line="520" w:lineRule="exact"/>
              <w:jc w:val="center"/>
              <w:rPr>
                <w:rFonts w:hint="eastAsia" w:ascii="仿宋" w:hAnsi="仿宋" w:eastAsia="仿宋" w:cs="仿宋"/>
                <w:color w:val="000000" w:themeColor="text1"/>
                <w:vertAlign w:val="baseline"/>
                <w:lang w:eastAsia="zh-CN"/>
              </w:rPr>
            </w:pPr>
            <w:r>
              <w:rPr>
                <w:rFonts w:hint="eastAsia" w:ascii="仿宋" w:hAnsi="仿宋" w:eastAsia="仿宋" w:cs="仿宋"/>
                <w:color w:val="000000" w:themeColor="text1"/>
                <w:vertAlign w:val="baseline"/>
                <w:lang w:eastAsia="zh-CN"/>
              </w:rPr>
              <w:t>长春林区中级法院</w:t>
            </w:r>
          </w:p>
        </w:tc>
        <w:tc>
          <w:tcPr>
            <w:tcW w:w="4245" w:type="dxa"/>
            <w:vAlign w:val="top"/>
          </w:tcPr>
          <w:p>
            <w:pPr>
              <w:spacing w:line="520" w:lineRule="exact"/>
              <w:jc w:val="center"/>
              <w:rPr>
                <w:rFonts w:hint="eastAsia" w:ascii="仿宋" w:hAnsi="仿宋" w:eastAsia="仿宋" w:cs="仿宋"/>
                <w:color w:val="000000" w:themeColor="text1"/>
                <w:vertAlign w:val="baseline"/>
                <w:lang w:val="en-US" w:eastAsia="zh-CN"/>
              </w:rPr>
            </w:pPr>
            <w:r>
              <w:rPr>
                <w:rFonts w:hint="eastAsia" w:ascii="仿宋" w:hAnsi="仿宋" w:eastAsia="仿宋" w:cs="仿宋"/>
                <w:color w:val="000000" w:themeColor="text1"/>
                <w:vertAlign w:val="baseline"/>
                <w:lang w:val="en-US" w:eastAsia="zh-CN"/>
              </w:rPr>
              <w:t>98.02%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602" w:type="dxa"/>
            <w:vAlign w:val="top"/>
          </w:tcPr>
          <w:p>
            <w:pPr>
              <w:spacing w:line="520" w:lineRule="exact"/>
              <w:jc w:val="center"/>
              <w:rPr>
                <w:rFonts w:hint="eastAsia" w:ascii="仿宋" w:hAnsi="仿宋" w:eastAsia="仿宋" w:cs="仿宋"/>
                <w:color w:val="000000" w:themeColor="text1"/>
                <w:vertAlign w:val="baseline"/>
                <w:lang w:eastAsia="zh-CN"/>
              </w:rPr>
            </w:pPr>
            <w:r>
              <w:rPr>
                <w:rFonts w:hint="eastAsia" w:ascii="仿宋" w:hAnsi="仿宋" w:eastAsia="仿宋" w:cs="仿宋"/>
                <w:color w:val="000000" w:themeColor="text1"/>
                <w:vertAlign w:val="baseline"/>
                <w:lang w:eastAsia="zh-CN"/>
              </w:rPr>
              <w:t>白石山林区基层法院</w:t>
            </w:r>
          </w:p>
        </w:tc>
        <w:tc>
          <w:tcPr>
            <w:tcW w:w="4245" w:type="dxa"/>
            <w:vAlign w:val="top"/>
          </w:tcPr>
          <w:p>
            <w:pPr>
              <w:spacing w:line="520" w:lineRule="exact"/>
              <w:jc w:val="center"/>
              <w:rPr>
                <w:rFonts w:hint="eastAsia" w:ascii="仿宋" w:hAnsi="仿宋" w:eastAsia="仿宋" w:cs="仿宋"/>
                <w:color w:val="000000" w:themeColor="text1"/>
                <w:vertAlign w:val="baseline"/>
                <w:lang w:val="en-US" w:eastAsia="zh-CN"/>
              </w:rPr>
            </w:pPr>
            <w:r>
              <w:rPr>
                <w:rFonts w:hint="eastAsia" w:ascii="仿宋" w:hAnsi="仿宋" w:eastAsia="仿宋" w:cs="仿宋"/>
                <w:color w:val="000000" w:themeColor="text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602" w:type="dxa"/>
            <w:vAlign w:val="top"/>
          </w:tcPr>
          <w:p>
            <w:pPr>
              <w:spacing w:line="520" w:lineRule="exact"/>
              <w:jc w:val="center"/>
              <w:rPr>
                <w:rFonts w:hint="eastAsia" w:ascii="仿宋" w:hAnsi="仿宋" w:eastAsia="仿宋" w:cs="仿宋"/>
                <w:color w:val="000000" w:themeColor="text1"/>
                <w:vertAlign w:val="baseline"/>
                <w:lang w:eastAsia="zh-CN"/>
              </w:rPr>
            </w:pPr>
            <w:r>
              <w:rPr>
                <w:rFonts w:hint="eastAsia" w:ascii="仿宋" w:hAnsi="仿宋" w:eastAsia="仿宋" w:cs="仿宋"/>
                <w:color w:val="000000" w:themeColor="text1"/>
                <w:vertAlign w:val="baseline"/>
                <w:lang w:eastAsia="zh-CN"/>
              </w:rPr>
              <w:t>红石林区基层法院</w:t>
            </w:r>
          </w:p>
        </w:tc>
        <w:tc>
          <w:tcPr>
            <w:tcW w:w="4245" w:type="dxa"/>
            <w:vAlign w:val="top"/>
          </w:tcPr>
          <w:p>
            <w:pPr>
              <w:spacing w:line="520" w:lineRule="exact"/>
              <w:jc w:val="center"/>
              <w:rPr>
                <w:rFonts w:hint="eastAsia" w:ascii="仿宋" w:hAnsi="仿宋" w:eastAsia="仿宋" w:cs="仿宋"/>
                <w:color w:val="000000" w:themeColor="text1"/>
                <w:vertAlign w:val="baseline"/>
                <w:lang w:val="en-US" w:eastAsia="zh-CN"/>
              </w:rPr>
            </w:pPr>
            <w:r>
              <w:rPr>
                <w:rFonts w:hint="eastAsia" w:ascii="仿宋" w:hAnsi="仿宋" w:eastAsia="仿宋" w:cs="仿宋"/>
                <w:color w:val="000000" w:themeColor="text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602" w:type="dxa"/>
            <w:vAlign w:val="top"/>
          </w:tcPr>
          <w:p>
            <w:pPr>
              <w:spacing w:line="520" w:lineRule="exact"/>
              <w:jc w:val="center"/>
              <w:rPr>
                <w:rFonts w:hint="eastAsia" w:ascii="仿宋" w:hAnsi="仿宋" w:eastAsia="仿宋" w:cs="仿宋"/>
                <w:color w:val="000000" w:themeColor="text1"/>
                <w:vertAlign w:val="baseline"/>
                <w:lang w:eastAsia="zh-CN"/>
              </w:rPr>
            </w:pPr>
            <w:r>
              <w:rPr>
                <w:rFonts w:hint="eastAsia" w:ascii="仿宋" w:hAnsi="仿宋" w:eastAsia="仿宋" w:cs="仿宋"/>
                <w:color w:val="000000" w:themeColor="text1"/>
                <w:vertAlign w:val="baseline"/>
                <w:lang w:eastAsia="zh-CN"/>
              </w:rPr>
              <w:t>临江林区基层法院</w:t>
            </w:r>
          </w:p>
        </w:tc>
        <w:tc>
          <w:tcPr>
            <w:tcW w:w="4245" w:type="dxa"/>
            <w:vAlign w:val="top"/>
          </w:tcPr>
          <w:p>
            <w:pPr>
              <w:spacing w:line="520" w:lineRule="exact"/>
              <w:jc w:val="center"/>
              <w:rPr>
                <w:rFonts w:hint="eastAsia" w:ascii="仿宋" w:hAnsi="仿宋" w:eastAsia="仿宋" w:cs="仿宋"/>
                <w:color w:val="000000" w:themeColor="text1"/>
                <w:vertAlign w:val="baseline"/>
                <w:lang w:val="en-US" w:eastAsia="zh-CN"/>
              </w:rPr>
            </w:pPr>
            <w:r>
              <w:rPr>
                <w:rFonts w:hint="eastAsia" w:ascii="仿宋" w:hAnsi="仿宋" w:eastAsia="仿宋" w:cs="仿宋"/>
                <w:color w:val="000000" w:themeColor="text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602" w:type="dxa"/>
            <w:vAlign w:val="top"/>
          </w:tcPr>
          <w:p>
            <w:pPr>
              <w:spacing w:line="520" w:lineRule="exact"/>
              <w:jc w:val="center"/>
              <w:rPr>
                <w:rFonts w:hint="eastAsia" w:ascii="仿宋" w:hAnsi="仿宋" w:eastAsia="仿宋" w:cs="仿宋"/>
                <w:color w:val="000000" w:themeColor="text1"/>
                <w:vertAlign w:val="baseline"/>
                <w:lang w:eastAsia="zh-CN"/>
              </w:rPr>
            </w:pPr>
            <w:r>
              <w:rPr>
                <w:rFonts w:hint="eastAsia" w:ascii="仿宋" w:hAnsi="仿宋" w:eastAsia="仿宋" w:cs="仿宋"/>
                <w:color w:val="000000" w:themeColor="text1"/>
                <w:vertAlign w:val="baseline"/>
                <w:lang w:eastAsia="zh-CN"/>
              </w:rPr>
              <w:t>抚松林区基层法院</w:t>
            </w:r>
          </w:p>
        </w:tc>
        <w:tc>
          <w:tcPr>
            <w:tcW w:w="4245" w:type="dxa"/>
            <w:vAlign w:val="top"/>
          </w:tcPr>
          <w:p>
            <w:pPr>
              <w:spacing w:line="520" w:lineRule="exact"/>
              <w:jc w:val="center"/>
              <w:rPr>
                <w:rFonts w:hint="eastAsia" w:ascii="仿宋" w:hAnsi="仿宋" w:eastAsia="仿宋" w:cs="仿宋"/>
                <w:color w:val="000000" w:themeColor="text1"/>
                <w:vertAlign w:val="baseline"/>
                <w:lang w:val="en-US" w:eastAsia="zh-CN"/>
              </w:rPr>
            </w:pPr>
            <w:r>
              <w:rPr>
                <w:rFonts w:hint="eastAsia" w:ascii="仿宋" w:hAnsi="仿宋" w:eastAsia="仿宋" w:cs="仿宋"/>
                <w:color w:val="000000" w:themeColor="text1"/>
                <w:vertAlign w:val="baseline"/>
                <w:lang w:val="en-US" w:eastAsia="zh-CN"/>
              </w:rPr>
              <w:t>97.58%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4602" w:type="dxa"/>
            <w:vAlign w:val="top"/>
          </w:tcPr>
          <w:p>
            <w:pPr>
              <w:spacing w:line="520" w:lineRule="exact"/>
              <w:jc w:val="center"/>
              <w:rPr>
                <w:rFonts w:hint="eastAsia" w:ascii="仿宋" w:hAnsi="仿宋" w:eastAsia="仿宋" w:cs="仿宋"/>
                <w:color w:val="000000" w:themeColor="text1"/>
                <w:vertAlign w:val="baseline"/>
                <w:lang w:eastAsia="zh-CN"/>
              </w:rPr>
            </w:pPr>
            <w:r>
              <w:rPr>
                <w:rFonts w:hint="eastAsia" w:ascii="仿宋" w:hAnsi="仿宋" w:eastAsia="仿宋" w:cs="仿宋"/>
                <w:color w:val="000000" w:themeColor="text1"/>
                <w:vertAlign w:val="baseline"/>
                <w:lang w:eastAsia="zh-CN"/>
              </w:rPr>
              <w:t>江源林区基层法院</w:t>
            </w:r>
          </w:p>
        </w:tc>
        <w:tc>
          <w:tcPr>
            <w:tcW w:w="4245" w:type="dxa"/>
            <w:vAlign w:val="top"/>
          </w:tcPr>
          <w:p>
            <w:pPr>
              <w:spacing w:line="520" w:lineRule="exact"/>
              <w:jc w:val="center"/>
              <w:rPr>
                <w:rFonts w:hint="eastAsia" w:ascii="仿宋" w:hAnsi="仿宋" w:eastAsia="仿宋" w:cs="仿宋"/>
                <w:color w:val="000000" w:themeColor="text1"/>
                <w:vertAlign w:val="baseline"/>
                <w:lang w:val="en-US" w:eastAsia="zh-CN"/>
              </w:rPr>
            </w:pPr>
            <w:r>
              <w:rPr>
                <w:rFonts w:hint="eastAsia" w:ascii="仿宋" w:hAnsi="仿宋" w:eastAsia="仿宋" w:cs="仿宋"/>
                <w:color w:val="000000" w:themeColor="text1"/>
                <w:vertAlign w:val="baseline"/>
                <w:lang w:val="en-US" w:eastAsia="zh-CN"/>
              </w:rPr>
              <w:t>99%</w:t>
            </w:r>
          </w:p>
        </w:tc>
      </w:tr>
    </w:tbl>
    <w:p>
      <w:pPr>
        <w:spacing w:line="520" w:lineRule="exact"/>
        <w:ind w:firstLine="480" w:firstLineChars="150"/>
        <w:jc w:val="center"/>
        <w:rPr>
          <w:rFonts w:hint="eastAsia" w:ascii="仿宋" w:hAnsi="仿宋" w:eastAsia="仿宋" w:cs="仿宋"/>
          <w:color w:val="000000" w:themeColor="text1"/>
        </w:rPr>
      </w:pPr>
      <w:r>
        <w:rPr>
          <w:rFonts w:hint="eastAsia" w:ascii="仿宋" w:hAnsi="仿宋" w:eastAsia="仿宋" w:cs="仿宋"/>
          <w:color w:val="000000" w:themeColor="text1"/>
          <w:lang w:eastAsia="zh-CN"/>
        </w:rPr>
        <w:t>（图表六）</w:t>
      </w:r>
    </w:p>
    <w:p>
      <w:pPr>
        <w:spacing w:line="520" w:lineRule="exact"/>
        <w:ind w:firstLine="630" w:firstLineChars="196"/>
        <w:rPr>
          <w:rFonts w:hint="eastAsia" w:ascii="仿宋" w:hAnsi="仿宋" w:eastAsia="仿宋" w:cs="仿宋"/>
          <w:b/>
        </w:rPr>
      </w:pPr>
      <w:r>
        <w:rPr>
          <w:rFonts w:hint="eastAsia" w:ascii="仿宋" w:hAnsi="仿宋" w:eastAsia="仿宋" w:cs="仿宋"/>
          <w:b/>
        </w:rPr>
        <w:t>五、审判工作呈现的突出特点及问题</w:t>
      </w:r>
    </w:p>
    <w:p>
      <w:pPr>
        <w:spacing w:line="360" w:lineRule="auto"/>
        <w:ind w:firstLine="640" w:firstLineChars="200"/>
        <w:rPr>
          <w:rFonts w:hint="eastAsia" w:ascii="仿宋" w:hAnsi="仿宋" w:eastAsia="仿宋" w:cs="仿宋"/>
          <w:color w:val="000000" w:themeColor="text1"/>
        </w:rPr>
      </w:pPr>
      <w:r>
        <w:rPr>
          <w:rFonts w:hint="eastAsia" w:ascii="仿宋" w:hAnsi="仿宋" w:eastAsia="仿宋" w:cs="仿宋"/>
        </w:rPr>
        <w:t>1、2017年度，</w:t>
      </w:r>
      <w:r>
        <w:rPr>
          <w:rFonts w:hint="eastAsia" w:ascii="仿宋" w:hAnsi="仿宋" w:eastAsia="仿宋" w:cs="仿宋"/>
          <w:color w:val="000000" w:themeColor="text1"/>
        </w:rPr>
        <w:t>林区两级法院新收案件总体呈下降趋势，主要是林区案件总量小，新收案件数量受各类案件影响大。其中，白石山院新收100件，较去年同期下降89件，同比下降47.1%；红石院新收400件，较去年同期上升206件，同比上升106.2%；抚松院新收211件，较去年同期下降121件，同比下降36.44%；江源院新收142件，较去年同期下降52件，同比下降26.8%。白石山去年同期新收大量白石山林业局与职工的劳动争议系列案件，多数调解结案，今年无这种系列案件，故收案量下降幅度较大。</w:t>
      </w:r>
      <w:r>
        <w:rPr>
          <w:rFonts w:hint="eastAsia" w:ascii="仿宋" w:hAnsi="仿宋" w:eastAsia="仿宋" w:cs="仿宋"/>
        </w:rPr>
        <w:t>红石院所在地区因2016年供热公司供热温度不达标，供热用户与供暖企业之间发生纠纷，导致大量供热合同纠纷案件涌入法院，新收案件大幅增长。</w:t>
      </w:r>
      <w:r>
        <w:rPr>
          <w:rFonts w:hint="eastAsia" w:ascii="仿宋" w:hAnsi="仿宋" w:eastAsia="仿宋" w:cs="仿宋"/>
          <w:color w:val="000000" w:themeColor="text1"/>
        </w:rPr>
        <w:t>抚松院新收刑事案件50件，较去年同期下降13件，同比下降20.63%，刑事案件下降的原因主要是公检法三机关联合执法，重点打击涉林案件效果明显，刑事涉林案件有所下降；新收民事案件178件，较去年同期下降77件，同比下降76.24%，民事案件下降的原因主要是2017抚松院年出台了关于加强诉讼与调解对接的实施方案，三大林业局成立了调解工作室，聘请各林业局有调解经验的人员担任调解员，有部分民事案件在当地调解室及时得到调解，未进入诉讼程序。江源院（前身江源、湾沟两院）2016年因供用热力纠纷类案件增加，导致民事案件量大副上升，当年新收民事案件252件，今年此类案件减少；同时因为开展了执行攻坚活动，执行案件下降幅度明显，达到了38.81%。临江院总体上变化较小，因为基层院一审案件总体呈下降趋势，所以中院二审案件也较去年同期有所下降。</w:t>
      </w:r>
    </w:p>
    <w:p>
      <w:pPr>
        <w:spacing w:line="520" w:lineRule="exact"/>
        <w:ind w:firstLine="640" w:firstLineChars="200"/>
        <w:rPr>
          <w:rFonts w:hint="eastAsia" w:ascii="仿宋" w:hAnsi="仿宋" w:eastAsia="仿宋" w:cs="仿宋"/>
          <w:color w:val="000000" w:themeColor="text1"/>
        </w:rPr>
      </w:pPr>
      <w:r>
        <w:rPr>
          <w:rFonts w:hint="eastAsia" w:ascii="仿宋" w:hAnsi="仿宋" w:eastAsia="仿宋" w:cs="仿宋"/>
          <w:color w:val="000000" w:themeColor="text1"/>
        </w:rPr>
        <w:t>2、案件类型呈多样化趋势。新收申诉、申请再审案件19件，较去年同期上升12件，同比上升171.43%，新收赔偿案件1件，同比上升100%；新收司法制裁案件1件，同比上升100%。各类型案件的出现要求林区两级法院员额法官还需加强处理各类型案件知识的积累，提升审判能力。</w:t>
      </w:r>
    </w:p>
    <w:p>
      <w:pPr>
        <w:snapToGrid w:val="0"/>
        <w:spacing w:line="540" w:lineRule="exact"/>
        <w:ind w:firstLine="640" w:firstLineChars="200"/>
        <w:rPr>
          <w:rFonts w:hint="eastAsia" w:ascii="仿宋" w:hAnsi="仿宋" w:eastAsia="仿宋" w:cs="仿宋"/>
          <w:color w:val="000000" w:themeColor="text1"/>
        </w:rPr>
      </w:pPr>
      <w:r>
        <w:rPr>
          <w:rFonts w:hint="eastAsia" w:ascii="仿宋" w:hAnsi="仿宋" w:eastAsia="仿宋" w:cs="仿宋"/>
          <w:color w:val="000000" w:themeColor="text1"/>
        </w:rPr>
        <w:t>3、存在个别院案件总量少，上诉率却增高的现象。表现为白石山院上诉案件14件，有10件是因林业局的劳动争议案件争议较大，法官做了大量调解工作和法律宣传，仍无法达成调解协议，依法宣判后做了法律宣传并释明裁判理由，但当事人不服提起了上诉；临江院上诉案件9件，案件总量较去年同期有所下降，但上诉案件有所上升。上诉案件的增长表明林区两级法院员额法官还需加强处理各类型案件知识的积累，提高与司法改革相适应的审判能力，同时在判后答疑和息诉息访工作上仍需努力。</w:t>
      </w:r>
    </w:p>
    <w:p>
      <w:pPr>
        <w:spacing w:line="520" w:lineRule="exact"/>
        <w:ind w:firstLine="640"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rPr>
        <w:t>4、全年结案率总体保持较高态势，但是需要加强均衡结案意识，避免出现年底突击结案的现象。首先，从案件类型上看，民事案件结案率为95.79%，同比下降1.59个百分点；刑事案件结案率为96.35%，同比下降1.03个百分点；执行案件执结率为93.54%，同比上升0.3个百分点。其次，从各院来看，白石山院结案率为95.65%,同比上升3.15个百分点；红石院结案率为93.96%,同比上升0.53个百分点；江源院结案率为98.01%,同比上升2.26个百分点；临江院结案率为95.17%,同比上升2.13个百分点；抚松院结案率为96.14%,同比上升1.89个百分点。但是个别院存在突击年中、年底突击结案现象，今年需强化均衡结案意识，避免出现某些案件久拖不决或匆忙结案的被动局面，坚决杜绝“案件多时低质量、案件少时低效率”和“年初不结案、年底突击结案”的现象，确保审判效率高效、良性循环发展。</w:t>
      </w:r>
      <w:r>
        <w:rPr>
          <w:rFonts w:hint="eastAsia" w:ascii="仿宋" w:hAnsi="仿宋" w:eastAsia="仿宋" w:cs="仿宋"/>
          <w:color w:val="000000" w:themeColor="text1"/>
          <w:lang w:eastAsia="zh-CN"/>
        </w:rPr>
        <w:t>（各院均衡结案情况见图表七</w:t>
      </w:r>
      <w:r>
        <w:rPr>
          <w:rFonts w:hint="eastAsia" w:ascii="仿宋" w:hAnsi="仿宋" w:eastAsia="仿宋" w:cs="仿宋"/>
          <w:color w:val="000000" w:themeColor="text1"/>
          <w:lang w:val="en-US" w:eastAsia="zh-CN"/>
        </w:rPr>
        <w:t>——图表十二</w:t>
      </w:r>
      <w:r>
        <w:rPr>
          <w:rFonts w:hint="eastAsia" w:ascii="仿宋" w:hAnsi="仿宋" w:eastAsia="仿宋" w:cs="仿宋"/>
          <w:color w:val="000000" w:themeColor="text1"/>
          <w:lang w:eastAsia="zh-CN"/>
        </w:rPr>
        <w:t>）</w:t>
      </w:r>
    </w:p>
    <w:p>
      <w:pPr>
        <w:spacing w:line="520" w:lineRule="exact"/>
        <w:ind w:firstLine="640" w:firstLineChars="200"/>
        <w:rPr>
          <w:rFonts w:hint="eastAsia" w:ascii="仿宋" w:hAnsi="仿宋" w:eastAsia="仿宋" w:cs="仿宋"/>
          <w:color w:val="000000" w:themeColor="text1"/>
          <w:lang w:eastAsia="zh-CN"/>
        </w:rPr>
      </w:pPr>
    </w:p>
    <w:p>
      <w:pPr>
        <w:rPr>
          <w:rFonts w:hint="eastAsia" w:ascii="仿宋" w:hAnsi="仿宋" w:eastAsia="仿宋" w:cs="仿宋"/>
        </w:rPr>
      </w:pPr>
      <w:r>
        <w:rPr>
          <w:rFonts w:hint="eastAsia" w:ascii="仿宋" w:hAnsi="仿宋" w:eastAsia="仿宋" w:cs="仿宋"/>
        </w:rPr>
        <w:drawing>
          <wp:inline distT="0" distB="0" distL="0" distR="0">
            <wp:extent cx="5426710" cy="3211195"/>
            <wp:effectExtent l="0" t="0" r="2540" b="825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hint="eastAsia" w:ascii="仿宋" w:hAnsi="仿宋" w:eastAsia="仿宋" w:cs="仿宋"/>
          <w:sz w:val="32"/>
        </w:rPr>
        <w:pict>
          <v:shape id="_x0000_s1071" o:spid="_x0000_s1071" o:spt="202" type="#_x0000_t202" style="position:absolute;left:0pt;margin-left:95.65pt;margin-top:2.3pt;height:45.25pt;width:123pt;z-index:252240896;mso-width-relative:page;mso-height-relative:page;" fillcolor="#FFFFFF" filled="t" stroked="t" coordsize="21600,21600">
            <v:path/>
            <v:fill type="gradient" on="t" color2="#FFFFFF" angle="90" focus="0%" focussize="0f,0f" focusposition="0f,0f">
              <o:fill type="gradientUnscaled" v:ext="backwardCompatible"/>
            </v:fill>
            <v:stroke weight="1.25pt" color="#00B050"/>
            <v:imagedata o:title=""/>
            <o:lock v:ext="edit" aspectratio="f"/>
            <v:textbox>
              <w:txbxContent>
                <w:p>
                  <w:pPr>
                    <w:rPr>
                      <w:rFonts w:hint="eastAsia" w:eastAsia="仿宋_GB2312"/>
                      <w:sz w:val="22"/>
                      <w:szCs w:val="22"/>
                      <w:lang w:val="en-US" w:eastAsia="zh-CN"/>
                    </w:rPr>
                  </w:pPr>
                  <w:r>
                    <w:rPr>
                      <w:rFonts w:hint="eastAsia"/>
                      <w:sz w:val="22"/>
                      <w:szCs w:val="22"/>
                      <w:lang w:val="en-US" w:eastAsia="zh-CN"/>
                    </w:rPr>
                    <w:t>1月受案包括旧存6件，新收6件</w:t>
                  </w:r>
                </w:p>
              </w:txbxContent>
            </v:textbox>
          </v:shape>
        </w:pict>
      </w:r>
      <w:r>
        <w:rPr>
          <w:rFonts w:hint="eastAsia" w:ascii="仿宋" w:hAnsi="仿宋" w:eastAsia="仿宋" w:cs="仿宋"/>
          <w:sz w:val="32"/>
        </w:rPr>
        <w:pict>
          <v:shape id="_x0000_s1064" o:spid="_x0000_s1064" o:spt="202" type="#_x0000_t202" style="position:absolute;left:0pt;margin-left:69.5pt;margin-top:261.8pt;height:45pt;width:307.4pt;z-index:252240896;mso-width-relative:page;mso-height-relative:page;" fillcolor="#FFFFFF" filled="t" stroked="f" coordsize="21600,21600">
            <v:path/>
            <v:fill type="gradient" on="t" color2="#FFFFFF" angle="90" focus="0%" focussize="0f,0f" focusposition="0f,0f">
              <o:fill type="gradientUnscaled" v:ext="backwardCompatible"/>
            </v:fill>
            <v:stroke on="f" weight="1.2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sz w:val="28"/>
                      <w:szCs w:val="28"/>
                    </w:rPr>
                  </w:pPr>
                  <w:r>
                    <w:rPr>
                      <w:rFonts w:hint="eastAsia"/>
                      <w:sz w:val="28"/>
                      <w:szCs w:val="28"/>
                    </w:rPr>
                    <w:t>长春林区中级法院诉讼立案</w:t>
                  </w:r>
                  <w:r>
                    <w:rPr>
                      <w:rFonts w:hint="eastAsia"/>
                      <w:sz w:val="28"/>
                      <w:szCs w:val="28"/>
                      <w:lang w:eastAsia="zh-CN"/>
                    </w:rPr>
                    <w:t>、</w:t>
                  </w:r>
                  <w:r>
                    <w:rPr>
                      <w:rFonts w:hint="eastAsia"/>
                      <w:sz w:val="28"/>
                      <w:szCs w:val="28"/>
                    </w:rPr>
                    <w:t>结案情况</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sz w:val="28"/>
                      <w:szCs w:val="28"/>
                    </w:rPr>
                  </w:pPr>
                  <w:r>
                    <w:rPr>
                      <w:rFonts w:hint="eastAsia"/>
                      <w:sz w:val="28"/>
                      <w:szCs w:val="28"/>
                    </w:rPr>
                    <w:t>(全年收案78件，结案75件，结案率为96.15%)</w:t>
                  </w:r>
                </w:p>
              </w:txbxContent>
            </v:textbox>
          </v:shape>
        </w:pict>
      </w:r>
    </w:p>
    <w:p>
      <w:pPr>
        <w:rPr>
          <w:rFonts w:hint="eastAsia" w:ascii="仿宋" w:hAnsi="仿宋" w:eastAsia="仿宋" w:cs="仿宋"/>
          <w:kern w:val="2"/>
          <w:sz w:val="32"/>
          <w:szCs w:val="32"/>
          <w:lang w:val="en-US" w:eastAsia="zh-CN" w:bidi="ar-SA"/>
        </w:rPr>
      </w:pPr>
    </w:p>
    <w:p>
      <w:pPr>
        <w:tabs>
          <w:tab w:val="left" w:pos="7704"/>
        </w:tabs>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ab/>
      </w:r>
    </w:p>
    <w:p>
      <w:pPr>
        <w:tabs>
          <w:tab w:val="left" w:pos="7704"/>
        </w:tabs>
        <w:jc w:val="center"/>
        <w:rPr>
          <w:rFonts w:hint="eastAsia" w:ascii="仿宋" w:hAnsi="仿宋" w:eastAsia="仿宋" w:cs="仿宋"/>
          <w:kern w:val="2"/>
          <w:sz w:val="32"/>
          <w:szCs w:val="32"/>
          <w:lang w:val="en-US" w:eastAsia="zh-CN" w:bidi="ar-SA"/>
        </w:rPr>
      </w:pPr>
    </w:p>
    <w:p>
      <w:pPr>
        <w:tabs>
          <w:tab w:val="left" w:pos="7704"/>
        </w:tabs>
        <w:jc w:val="cente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（图表七）</w:t>
      </w:r>
    </w:p>
    <w:p>
      <w:pPr>
        <w:tabs>
          <w:tab w:val="left" w:pos="1380"/>
        </w:tabs>
        <w:rPr>
          <w:rFonts w:hint="eastAsia" w:ascii="仿宋" w:hAnsi="仿宋" w:eastAsia="仿宋" w:cs="仿宋"/>
        </w:rPr>
      </w:pPr>
      <w:r>
        <w:rPr>
          <w:rFonts w:hint="eastAsia" w:ascii="仿宋" w:hAnsi="仿宋" w:eastAsia="仿宋" w:cs="仿宋"/>
          <w:sz w:val="32"/>
        </w:rPr>
        <w:pict>
          <v:shape id="_x0000_s1072" o:spid="_x0000_s1072" o:spt="202" type="#_x0000_t202" style="position:absolute;left:0pt;margin-left:82.9pt;margin-top:-14.2pt;height:55.45pt;width:135.75pt;z-index:252241920;mso-width-relative:page;mso-height-relative:page;" fillcolor="#FFFFFF" filled="t" stroked="t" coordsize="21600,21600">
            <v:path/>
            <v:fill type="gradient" on="t" color2="#FFFFFF" angle="90" focus="0%" focussize="0f,0f" focusposition="0f,0f">
              <o:fill type="gradientUnscaled" v:ext="backwardCompatible"/>
            </v:fill>
            <v:stroke weight="1.25pt" color="#00B050"/>
            <v:imagedata o:title=""/>
            <o:lock v:ext="edit" aspectratio="f"/>
            <v:textbox>
              <w:txbxContent>
                <w:p>
                  <w:pPr>
                    <w:rPr>
                      <w:rFonts w:hint="eastAsia" w:eastAsia="仿宋_GB2312"/>
                      <w:sz w:val="22"/>
                      <w:szCs w:val="22"/>
                      <w:lang w:val="en-US" w:eastAsia="zh-CN"/>
                    </w:rPr>
                  </w:pPr>
                  <w:r>
                    <w:rPr>
                      <w:rFonts w:hint="eastAsia"/>
                      <w:sz w:val="22"/>
                      <w:szCs w:val="22"/>
                      <w:lang w:val="en-US" w:eastAsia="zh-CN"/>
                    </w:rPr>
                    <w:t>1月受案包括旧存9件，新收7件</w:t>
                  </w:r>
                </w:p>
                <w:p/>
              </w:txbxContent>
            </v:textbox>
          </v:shape>
        </w:pict>
      </w:r>
      <w:r>
        <w:rPr>
          <w:rFonts w:hint="eastAsia" w:ascii="仿宋" w:hAnsi="仿宋" w:eastAsia="仿宋" w:cs="仿宋"/>
        </w:rPr>
        <w:drawing>
          <wp:anchor distT="0" distB="0" distL="114300" distR="114300" simplePos="0" relativeHeight="252239872" behindDoc="0" locked="0" layoutInCell="1" allowOverlap="1">
            <wp:simplePos x="0" y="0"/>
            <wp:positionH relativeFrom="column">
              <wp:posOffset>62230</wp:posOffset>
            </wp:positionH>
            <wp:positionV relativeFrom="paragraph">
              <wp:posOffset>271145</wp:posOffset>
            </wp:positionV>
            <wp:extent cx="5274310" cy="3076575"/>
            <wp:effectExtent l="0" t="0" r="2540" b="9525"/>
            <wp:wrapSquare wrapText="bothSides"/>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hint="eastAsia" w:ascii="仿宋" w:hAnsi="仿宋" w:eastAsia="仿宋" w:cs="仿宋"/>
          <w:sz w:val="32"/>
        </w:rPr>
        <w:pict>
          <v:shape id="_x0000_s1065" o:spid="_x0000_s1065" o:spt="202" type="#_x0000_t202" style="position:absolute;left:0pt;margin-left:63.45pt;margin-top:242pt;height:47.95pt;width:321.75pt;z-index:252240896;mso-width-relative:page;mso-height-relative:page;" fillcolor="#FFFFFF" filled="t" stroked="f" coordsize="21600,21600">
            <v:path/>
            <v:fill type="gradient" on="t" color2="#FFFFFF" angle="90" focus="0%" focussize="0f,0f" focusposition="0f,0f">
              <o:fill type="gradientUnscaled" v:ext="backwardCompatible"/>
            </v:fill>
            <v:stroke on="f" weight="1.25pt"/>
            <v:imagedata o:title=""/>
            <o:lock v:ext="edit" aspectratio="f"/>
            <v:textbox>
              <w:txbxContent>
                <w:p>
                  <w:pPr>
                    <w:jc w:val="center"/>
                    <w:rPr>
                      <w:rFonts w:hint="eastAsia"/>
                      <w:sz w:val="28"/>
                      <w:szCs w:val="28"/>
                    </w:rPr>
                  </w:pPr>
                  <w:r>
                    <w:rPr>
                      <w:rFonts w:hint="eastAsia"/>
                      <w:sz w:val="28"/>
                      <w:szCs w:val="28"/>
                    </w:rPr>
                    <w:t>白石山林区基层法院诉讼立案结案情况</w:t>
                  </w:r>
                </w:p>
                <w:p>
                  <w:pPr>
                    <w:jc w:val="center"/>
                    <w:rPr>
                      <w:sz w:val="28"/>
                      <w:szCs w:val="28"/>
                    </w:rPr>
                  </w:pPr>
                  <w:r>
                    <w:rPr>
                      <w:rFonts w:hint="eastAsia"/>
                      <w:sz w:val="28"/>
                      <w:szCs w:val="28"/>
                    </w:rPr>
                    <w:t>(全年收案87件，结案83件，结案率为95.40%)</w:t>
                  </w:r>
                </w:p>
                <w:p>
                  <w:pPr>
                    <w:tabs>
                      <w:tab w:val="left" w:pos="1380"/>
                    </w:tabs>
                    <w:rPr>
                      <w:sz w:val="28"/>
                      <w:szCs w:val="28"/>
                    </w:rPr>
                  </w:pPr>
                  <w:r>
                    <w:rPr>
                      <w:sz w:val="28"/>
                      <w:szCs w:val="28"/>
                    </w:rPr>
                    <w:drawing>
                      <wp:inline distT="0" distB="0" distL="114300" distR="114300">
                        <wp:extent cx="5274310" cy="3076575"/>
                        <wp:effectExtent l="0" t="0" r="2540" b="9525"/>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rPr>
                      <w:sz w:val="28"/>
                      <w:szCs w:val="28"/>
                    </w:rPr>
                  </w:pPr>
                </w:p>
              </w:txbxContent>
            </v:textbox>
          </v:shape>
        </w:pict>
      </w:r>
    </w:p>
    <w:p>
      <w:pPr>
        <w:tabs>
          <w:tab w:val="left" w:pos="1380"/>
        </w:tabs>
        <w:jc w:val="center"/>
        <w:rPr>
          <w:rFonts w:hint="eastAsia" w:ascii="仿宋" w:hAnsi="仿宋" w:eastAsia="仿宋" w:cs="仿宋"/>
          <w:lang w:eastAsia="zh-CN"/>
        </w:rPr>
      </w:pPr>
      <w:r>
        <w:rPr>
          <w:rFonts w:hint="eastAsia" w:ascii="仿宋" w:hAnsi="仿宋" w:eastAsia="仿宋" w:cs="仿宋"/>
          <w:lang w:eastAsia="zh-CN"/>
        </w:rPr>
        <w:t>（图表八）</w:t>
      </w:r>
    </w:p>
    <w:p>
      <w:pPr>
        <w:tabs>
          <w:tab w:val="left" w:pos="1380"/>
        </w:tabs>
        <w:rPr>
          <w:rFonts w:hint="eastAsia" w:ascii="仿宋" w:hAnsi="仿宋" w:eastAsia="仿宋" w:cs="仿宋"/>
        </w:rPr>
      </w:pPr>
    </w:p>
    <w:p>
      <w:pPr>
        <w:tabs>
          <w:tab w:val="left" w:pos="1380"/>
        </w:tabs>
        <w:rPr>
          <w:rFonts w:hint="eastAsia" w:ascii="仿宋" w:hAnsi="仿宋" w:eastAsia="仿宋" w:cs="仿宋"/>
        </w:rPr>
      </w:pPr>
      <w:r>
        <w:rPr>
          <w:rFonts w:hint="eastAsia" w:ascii="仿宋" w:hAnsi="仿宋" w:eastAsia="仿宋" w:cs="仿宋"/>
          <w:sz w:val="32"/>
        </w:rPr>
        <w:pict>
          <v:shape id="_x0000_s1073" o:spid="_x0000_s1073" o:spt="202" type="#_x0000_t202" style="position:absolute;left:0pt;margin-left:67.9pt;margin-top:48.5pt;height:46.5pt;width:112.5pt;z-index:252242944;mso-width-relative:page;mso-height-relative:page;" fillcolor="#FFFFFF" filled="t" stroked="t" coordsize="21600,21600">
            <v:path/>
            <v:fill type="gradient" on="t" color2="#FFFFFF" angle="90" focus="0%" focussize="0f,0f" focusposition="0f,0f">
              <o:fill type="gradientUnscaled" v:ext="backwardCompatible"/>
            </v:fill>
            <v:stroke weight="1.25pt" color="#00B050"/>
            <v:imagedata o:title=""/>
            <o:lock v:ext="edit" aspectratio="f"/>
            <v:textbox>
              <w:txbxContent>
                <w:p>
                  <w:pPr>
                    <w:rPr>
                      <w:rFonts w:hint="eastAsia" w:eastAsia="仿宋_GB2312"/>
                      <w:sz w:val="22"/>
                      <w:szCs w:val="22"/>
                      <w:lang w:val="en-US" w:eastAsia="zh-CN"/>
                    </w:rPr>
                  </w:pPr>
                  <w:r>
                    <w:rPr>
                      <w:rFonts w:hint="eastAsia"/>
                      <w:sz w:val="22"/>
                      <w:szCs w:val="22"/>
                      <w:lang w:val="en-US" w:eastAsia="zh-CN"/>
                    </w:rPr>
                    <w:t>1月受案包括旧存11件，新收10件</w:t>
                  </w:r>
                </w:p>
                <w:p/>
              </w:txbxContent>
            </v:textbox>
          </v:shape>
        </w:pict>
      </w:r>
      <w:r>
        <w:rPr>
          <w:rFonts w:hint="eastAsia" w:ascii="仿宋" w:hAnsi="仿宋" w:eastAsia="仿宋" w:cs="仿宋"/>
          <w:sz w:val="32"/>
        </w:rPr>
        <w:pict>
          <v:shape id="_x0000_s1066" o:spid="_x0000_s1066" o:spt="202" type="#_x0000_t202" style="position:absolute;left:0pt;margin-left:56.7pt;margin-top:234.4pt;height:51pt;width:354.75pt;z-index:252241920;mso-width-relative:page;mso-height-relative:page;" fillcolor="#FFFFFF" filled="t" stroked="f" coordsize="21600,21600">
            <v:path/>
            <v:fill type="gradient" on="t" color2="#FFFFFF" angle="90" focus="0%" focussize="0f,0f" focusposition="0f,0f">
              <o:fill type="gradientUnscaled" v:ext="backwardCompatible"/>
            </v:fill>
            <v:stroke on="f" weight="1.25pt"/>
            <v:imagedata o:title=""/>
            <o:lock v:ext="edit" aspectratio="f"/>
            <v:textbox>
              <w:txbxContent>
                <w:p>
                  <w:pPr>
                    <w:jc w:val="center"/>
                    <w:rPr>
                      <w:rFonts w:hint="eastAsia"/>
                      <w:sz w:val="28"/>
                      <w:szCs w:val="28"/>
                    </w:rPr>
                  </w:pPr>
                  <w:r>
                    <w:rPr>
                      <w:rFonts w:hint="eastAsia"/>
                      <w:sz w:val="28"/>
                      <w:szCs w:val="28"/>
                    </w:rPr>
                    <w:t>红石林区基层法院诉讼立案结案情况</w:t>
                  </w:r>
                </w:p>
                <w:p>
                  <w:pPr>
                    <w:jc w:val="center"/>
                    <w:rPr>
                      <w:sz w:val="28"/>
                      <w:szCs w:val="28"/>
                    </w:rPr>
                  </w:pPr>
                  <w:r>
                    <w:rPr>
                      <w:rFonts w:hint="eastAsia"/>
                      <w:sz w:val="28"/>
                      <w:szCs w:val="28"/>
                    </w:rPr>
                    <w:t>(全年收案347件，结案331件，结案率为95.39%)</w:t>
                  </w:r>
                </w:p>
                <w:p>
                  <w:pPr>
                    <w:rPr>
                      <w:sz w:val="28"/>
                      <w:szCs w:val="28"/>
                    </w:rPr>
                  </w:pPr>
                </w:p>
              </w:txbxContent>
            </v:textbox>
          </v:shape>
        </w:pict>
      </w:r>
      <w:r>
        <w:rPr>
          <w:rFonts w:hint="eastAsia" w:ascii="仿宋" w:hAnsi="仿宋" w:eastAsia="仿宋" w:cs="仿宋"/>
        </w:rPr>
        <w:drawing>
          <wp:inline distT="0" distB="0" distL="0" distR="0">
            <wp:extent cx="5274310" cy="3076575"/>
            <wp:effectExtent l="0" t="0" r="2540" b="9525"/>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tabs>
          <w:tab w:val="left" w:pos="1380"/>
        </w:tabs>
        <w:rPr>
          <w:rFonts w:hint="eastAsia" w:ascii="仿宋" w:hAnsi="仿宋" w:eastAsia="仿宋" w:cs="仿宋"/>
        </w:rPr>
      </w:pPr>
    </w:p>
    <w:p>
      <w:pPr>
        <w:tabs>
          <w:tab w:val="left" w:pos="1380"/>
        </w:tabs>
        <w:jc w:val="center"/>
        <w:rPr>
          <w:rFonts w:hint="eastAsia" w:ascii="仿宋" w:hAnsi="仿宋" w:eastAsia="仿宋" w:cs="仿宋"/>
          <w:lang w:eastAsia="zh-CN"/>
        </w:rPr>
      </w:pPr>
      <w:r>
        <w:rPr>
          <w:rFonts w:hint="eastAsia" w:ascii="仿宋" w:hAnsi="仿宋" w:eastAsia="仿宋" w:cs="仿宋"/>
          <w:lang w:eastAsia="zh-CN"/>
        </w:rPr>
        <w:t>（图表九）</w:t>
      </w:r>
    </w:p>
    <w:p>
      <w:pPr>
        <w:tabs>
          <w:tab w:val="left" w:pos="1380"/>
        </w:tabs>
        <w:rPr>
          <w:rFonts w:hint="eastAsia" w:ascii="仿宋" w:hAnsi="仿宋" w:eastAsia="仿宋" w:cs="仿宋"/>
        </w:rPr>
      </w:pPr>
      <w:r>
        <w:rPr>
          <w:rFonts w:hint="eastAsia" w:ascii="仿宋" w:hAnsi="仿宋" w:eastAsia="仿宋" w:cs="仿宋"/>
          <w:sz w:val="32"/>
        </w:rPr>
        <w:pict>
          <v:shape id="_x0000_s1074" o:spid="_x0000_s1074" o:spt="202" type="#_x0000_t202" style="position:absolute;left:0pt;margin-left:71.65pt;margin-top:-31.05pt;height:51.75pt;width:123.75pt;z-index:252243968;mso-width-relative:page;mso-height-relative:page;" fillcolor="#FFFFFF" filled="t" stroked="t" coordsize="21600,21600">
            <v:path/>
            <v:fill type="gradient" on="t" color2="#FFFFFF" angle="90" focus="0%" focussize="0f,0f" focusposition="0f,0f">
              <o:fill type="gradientUnscaled" v:ext="backwardCompatible"/>
            </v:fill>
            <v:stroke weight="1.25pt" color="#00B050"/>
            <v:imagedata o:title=""/>
            <o:lock v:ext="edit" aspectratio="f"/>
            <v:textbox>
              <w:txbxContent>
                <w:p>
                  <w:pPr>
                    <w:rPr>
                      <w:rFonts w:hint="eastAsia" w:eastAsia="仿宋_GB2312"/>
                      <w:sz w:val="22"/>
                      <w:szCs w:val="22"/>
                      <w:lang w:val="en-US" w:eastAsia="zh-CN"/>
                    </w:rPr>
                  </w:pPr>
                  <w:r>
                    <w:rPr>
                      <w:rFonts w:hint="eastAsia"/>
                      <w:sz w:val="22"/>
                      <w:szCs w:val="22"/>
                      <w:lang w:val="en-US" w:eastAsia="zh-CN"/>
                    </w:rPr>
                    <w:t>1月受案包括旧存10件，新收5件</w:t>
                  </w:r>
                </w:p>
                <w:p/>
              </w:txbxContent>
            </v:textbox>
          </v:shape>
        </w:pict>
      </w:r>
      <w:r>
        <w:rPr>
          <w:rFonts w:hint="eastAsia" w:ascii="仿宋" w:hAnsi="仿宋" w:eastAsia="仿宋" w:cs="仿宋"/>
          <w:sz w:val="32"/>
        </w:rPr>
        <w:pict>
          <v:shape id="_x0000_s1067" o:spid="_x0000_s1067" o:spt="202" type="#_x0000_t202" style="position:absolute;left:0pt;margin-left:60.5pt;margin-top:245.6pt;height:48.7pt;width:334.45pt;z-index:252242944;mso-width-relative:page;mso-height-relative:page;" fillcolor="#FFFFFF" filled="t" stroked="f" coordsize="21600,21600">
            <v:path/>
            <v:fill type="gradient" on="t" color2="#FFFFFF" angle="90" focus="0%" focussize="0f,0f" focusposition="0f,0f">
              <o:fill type="gradientUnscaled" v:ext="backwardCompatible"/>
            </v:fill>
            <v:stroke on="f" weight="1.25pt"/>
            <v:imagedata o:title=""/>
            <o:lock v:ext="edit" aspectratio="f"/>
            <v:textbox>
              <w:txbxContent>
                <w:p>
                  <w:pPr>
                    <w:jc w:val="center"/>
                    <w:rPr>
                      <w:rFonts w:hint="eastAsia"/>
                      <w:sz w:val="28"/>
                      <w:szCs w:val="28"/>
                    </w:rPr>
                  </w:pPr>
                  <w:r>
                    <w:rPr>
                      <w:rFonts w:hint="eastAsia"/>
                      <w:sz w:val="28"/>
                      <w:szCs w:val="28"/>
                    </w:rPr>
                    <w:t>临江林区基层法院诉讼立案结案情况</w:t>
                  </w:r>
                </w:p>
                <w:p>
                  <w:pPr>
                    <w:jc w:val="center"/>
                    <w:rPr>
                      <w:rFonts w:hint="eastAsia"/>
                      <w:sz w:val="28"/>
                      <w:szCs w:val="28"/>
                    </w:rPr>
                  </w:pPr>
                  <w:r>
                    <w:rPr>
                      <w:rFonts w:hint="eastAsia"/>
                      <w:sz w:val="28"/>
                      <w:szCs w:val="28"/>
                    </w:rPr>
                    <w:t>(全年收案86件，结案91件，结案率为94.51%)</w:t>
                  </w:r>
                </w:p>
                <w:p>
                  <w:pPr>
                    <w:rPr>
                      <w:sz w:val="28"/>
                      <w:szCs w:val="28"/>
                    </w:rPr>
                  </w:pPr>
                </w:p>
              </w:txbxContent>
            </v:textbox>
          </v:shape>
        </w:pict>
      </w:r>
      <w:r>
        <w:rPr>
          <w:rFonts w:hint="eastAsia" w:ascii="仿宋" w:hAnsi="仿宋" w:eastAsia="仿宋" w:cs="仿宋"/>
        </w:rPr>
        <w:drawing>
          <wp:inline distT="0" distB="0" distL="0" distR="0">
            <wp:extent cx="5274310" cy="3076575"/>
            <wp:effectExtent l="0" t="0" r="2540" b="9525"/>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tabs>
          <w:tab w:val="left" w:pos="1380"/>
        </w:tabs>
        <w:rPr>
          <w:rFonts w:hint="eastAsia" w:ascii="仿宋" w:hAnsi="仿宋" w:eastAsia="仿宋" w:cs="仿宋"/>
        </w:rPr>
      </w:pPr>
    </w:p>
    <w:p>
      <w:pPr>
        <w:tabs>
          <w:tab w:val="left" w:pos="1380"/>
        </w:tabs>
        <w:rPr>
          <w:rFonts w:hint="eastAsia" w:ascii="仿宋" w:hAnsi="仿宋" w:eastAsia="仿宋" w:cs="仿宋"/>
        </w:rPr>
      </w:pPr>
    </w:p>
    <w:p>
      <w:pPr>
        <w:tabs>
          <w:tab w:val="left" w:pos="1380"/>
        </w:tabs>
        <w:jc w:val="center"/>
        <w:rPr>
          <w:rFonts w:hint="eastAsia" w:ascii="仿宋" w:hAnsi="仿宋" w:eastAsia="仿宋" w:cs="仿宋"/>
          <w:lang w:eastAsia="zh-CN"/>
        </w:rPr>
      </w:pPr>
      <w:r>
        <w:rPr>
          <w:rFonts w:hint="eastAsia" w:ascii="仿宋" w:hAnsi="仿宋" w:eastAsia="仿宋" w:cs="仿宋"/>
          <w:lang w:eastAsia="zh-CN"/>
        </w:rPr>
        <w:t>（图表十）</w:t>
      </w:r>
    </w:p>
    <w:p>
      <w:pPr>
        <w:tabs>
          <w:tab w:val="left" w:pos="1380"/>
        </w:tabs>
        <w:jc w:val="center"/>
        <w:rPr>
          <w:rFonts w:hint="eastAsia" w:ascii="仿宋" w:hAnsi="仿宋" w:eastAsia="仿宋" w:cs="仿宋"/>
          <w:lang w:eastAsia="zh-CN"/>
        </w:rPr>
      </w:pPr>
      <w:r>
        <w:rPr>
          <w:rFonts w:hint="eastAsia" w:ascii="仿宋" w:hAnsi="仿宋" w:eastAsia="仿宋" w:cs="仿宋"/>
          <w:sz w:val="32"/>
        </w:rPr>
        <w:pict>
          <v:shape id="_x0000_s1075" o:spid="_x0000_s1075" o:spt="202" type="#_x0000_t202" style="position:absolute;left:0pt;margin-left:75.4pt;margin-top:7.65pt;height:49.5pt;width:104.25pt;z-index:252244992;mso-width-relative:page;mso-height-relative:page;" fillcolor="#FFFFFF" filled="t" stroked="t" coordsize="21600,21600">
            <v:path/>
            <v:fill type="gradient" on="t" color2="#FFFFFF" angle="90" focus="0%" focussize="0f,0f" focusposition="0f,0f">
              <o:fill type="gradientUnscaled" v:ext="backwardCompatible"/>
            </v:fill>
            <v:stroke weight="1.25pt" color="#00B050"/>
            <v:imagedata o:title=""/>
            <o:lock v:ext="edit" aspectratio="f"/>
            <v:textbox>
              <w:txbxContent>
                <w:p>
                  <w:pPr>
                    <w:rPr>
                      <w:rFonts w:hint="eastAsia" w:eastAsia="仿宋_GB2312"/>
                      <w:sz w:val="22"/>
                      <w:szCs w:val="22"/>
                      <w:lang w:val="en-US" w:eastAsia="zh-CN"/>
                    </w:rPr>
                  </w:pPr>
                  <w:r>
                    <w:rPr>
                      <w:rFonts w:hint="eastAsia"/>
                      <w:sz w:val="22"/>
                      <w:szCs w:val="22"/>
                      <w:lang w:val="en-US" w:eastAsia="zh-CN"/>
                    </w:rPr>
                    <w:t>1月受案包括旧存16件，新收18件</w:t>
                  </w:r>
                </w:p>
                <w:p/>
              </w:txbxContent>
            </v:textbox>
          </v:shape>
        </w:pict>
      </w:r>
    </w:p>
    <w:p>
      <w:pPr>
        <w:tabs>
          <w:tab w:val="left" w:pos="1380"/>
        </w:tabs>
        <w:rPr>
          <w:rFonts w:hint="eastAsia" w:ascii="仿宋" w:hAnsi="仿宋" w:eastAsia="仿宋" w:cs="仿宋"/>
        </w:rPr>
      </w:pPr>
      <w:r>
        <w:rPr>
          <w:rFonts w:hint="eastAsia" w:ascii="仿宋" w:hAnsi="仿宋" w:eastAsia="仿宋" w:cs="仿宋"/>
          <w:sz w:val="32"/>
        </w:rPr>
        <w:pict>
          <v:shape id="_x0000_s1068" o:spid="_x0000_s1068" o:spt="202" type="#_x0000_t202" style="position:absolute;left:0pt;margin-left:55.95pt;margin-top:226.75pt;height:47.25pt;width:345.75pt;z-index:252243968;mso-width-relative:page;mso-height-relative:page;" fillcolor="#FFFFFF" filled="t" stroked="f" coordsize="21600,21600">
            <v:path/>
            <v:fill type="gradient" on="t" color2="#FFFFFF" angle="90" focus="0%" focussize="0f,0f" focusposition="0f,0f">
              <o:fill type="gradientUnscaled" v:ext="backwardCompatible"/>
            </v:fill>
            <v:stroke on="f" weight="1.25pt"/>
            <v:imagedata o:title=""/>
            <o:lock v:ext="edit" aspectratio="f"/>
            <v:textbox>
              <w:txbxContent>
                <w:p>
                  <w:pPr>
                    <w:jc w:val="center"/>
                    <w:rPr>
                      <w:rFonts w:hint="eastAsia"/>
                      <w:sz w:val="28"/>
                      <w:szCs w:val="28"/>
                    </w:rPr>
                  </w:pPr>
                  <w:r>
                    <w:rPr>
                      <w:rFonts w:hint="eastAsia"/>
                      <w:sz w:val="28"/>
                      <w:szCs w:val="28"/>
                    </w:rPr>
                    <w:t>抚松林区基层法院诉讼立案结案情况</w:t>
                  </w:r>
                </w:p>
                <w:p>
                  <w:pPr>
                    <w:jc w:val="center"/>
                    <w:rPr>
                      <w:rFonts w:hint="eastAsia"/>
                      <w:sz w:val="28"/>
                      <w:szCs w:val="28"/>
                    </w:rPr>
                  </w:pPr>
                  <w:r>
                    <w:rPr>
                      <w:rFonts w:hint="eastAsia"/>
                      <w:sz w:val="28"/>
                      <w:szCs w:val="28"/>
                    </w:rPr>
                    <w:t>(全年收案166件，结案170件，结案率为97.65%)</w:t>
                  </w:r>
                </w:p>
                <w:p/>
              </w:txbxContent>
            </v:textbox>
          </v:shape>
        </w:pict>
      </w:r>
      <w:r>
        <w:rPr>
          <w:rFonts w:hint="eastAsia" w:ascii="仿宋" w:hAnsi="仿宋" w:eastAsia="仿宋" w:cs="仿宋"/>
        </w:rPr>
        <w:drawing>
          <wp:inline distT="0" distB="0" distL="0" distR="0">
            <wp:extent cx="5274310" cy="3076575"/>
            <wp:effectExtent l="0" t="0" r="2540" b="9525"/>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tabs>
          <w:tab w:val="left" w:pos="1380"/>
        </w:tabs>
        <w:rPr>
          <w:rFonts w:hint="eastAsia" w:ascii="仿宋" w:hAnsi="仿宋" w:eastAsia="仿宋" w:cs="仿宋"/>
        </w:rPr>
      </w:pPr>
    </w:p>
    <w:p>
      <w:pPr>
        <w:tabs>
          <w:tab w:val="left" w:pos="1380"/>
        </w:tabs>
        <w:jc w:val="center"/>
        <w:rPr>
          <w:rFonts w:hint="eastAsia" w:ascii="仿宋" w:hAnsi="仿宋" w:eastAsia="仿宋" w:cs="仿宋"/>
          <w:lang w:eastAsia="zh-CN"/>
        </w:rPr>
      </w:pPr>
      <w:r>
        <w:rPr>
          <w:rFonts w:hint="eastAsia" w:ascii="仿宋" w:hAnsi="仿宋" w:eastAsia="仿宋" w:cs="仿宋"/>
          <w:lang w:eastAsia="zh-CN"/>
        </w:rPr>
        <w:t>（图表十一）</w:t>
      </w:r>
    </w:p>
    <w:p>
      <w:pPr>
        <w:tabs>
          <w:tab w:val="left" w:pos="1380"/>
        </w:tabs>
        <w:rPr>
          <w:rFonts w:hint="eastAsia" w:ascii="仿宋" w:hAnsi="仿宋" w:eastAsia="仿宋" w:cs="仿宋"/>
        </w:rPr>
      </w:pPr>
      <w:r>
        <w:rPr>
          <w:rFonts w:hint="eastAsia" w:ascii="仿宋" w:hAnsi="仿宋" w:eastAsia="仿宋" w:cs="仿宋"/>
          <w:sz w:val="32"/>
        </w:rPr>
        <w:pict>
          <v:shape id="_x0000_s1076" o:spid="_x0000_s1076" o:spt="202" type="#_x0000_t202" style="position:absolute;left:0pt;margin-left:85.15pt;margin-top:-25.5pt;height:45.75pt;width:118.5pt;z-index:252246016;mso-width-relative:page;mso-height-relative:page;" fillcolor="#FFFFFF" filled="t" stroked="t" coordsize="21600,21600">
            <v:path/>
            <v:fill type="gradient" on="t" color2="#FFFFFF" angle="90" focus="0%" focussize="0f,0f" focusposition="0f,0f">
              <o:fill type="gradientUnscaled" v:ext="backwardCompatible"/>
            </v:fill>
            <v:stroke weight="1.25pt" color="#00B050"/>
            <v:imagedata o:title=""/>
            <o:lock v:ext="edit" aspectratio="f"/>
            <v:textbox>
              <w:txbxContent>
                <w:p>
                  <w:pPr>
                    <w:rPr>
                      <w:rFonts w:hint="eastAsia" w:eastAsia="仿宋_GB2312"/>
                      <w:sz w:val="22"/>
                      <w:szCs w:val="22"/>
                      <w:lang w:val="en-US" w:eastAsia="zh-CN"/>
                    </w:rPr>
                  </w:pPr>
                  <w:r>
                    <w:rPr>
                      <w:rFonts w:hint="eastAsia"/>
                      <w:sz w:val="22"/>
                      <w:szCs w:val="22"/>
                      <w:lang w:val="en-US" w:eastAsia="zh-CN"/>
                    </w:rPr>
                    <w:t>1月受案包括旧存6件，新收11件</w:t>
                  </w:r>
                </w:p>
                <w:p/>
              </w:txbxContent>
            </v:textbox>
          </v:shape>
        </w:pict>
      </w:r>
      <w:r>
        <w:rPr>
          <w:rFonts w:hint="eastAsia" w:ascii="仿宋" w:hAnsi="仿宋" w:eastAsia="仿宋" w:cs="仿宋"/>
          <w:sz w:val="32"/>
        </w:rPr>
        <w:pict>
          <v:shape id="_x0000_s1069" o:spid="_x0000_s1069" o:spt="202" type="#_x0000_t202" style="position:absolute;left:0pt;margin-left:61.95pt;margin-top:223.45pt;height:51pt;width:341.25pt;z-index:252244992;mso-width-relative:page;mso-height-relative:page;" fillcolor="#FFFFFF" filled="t" stroked="f" coordsize="21600,21600">
            <v:path/>
            <v:fill type="gradient" on="t" color2="#FFFFFF" angle="90" focus="0%" focussize="0f,0f" focusposition="0f,0f">
              <o:fill type="gradientUnscaled" v:ext="backwardCompatible"/>
            </v:fill>
            <v:stroke on="f" weight="1.25pt"/>
            <v:imagedata o:title=""/>
            <o:lock v:ext="edit" aspectratio="f"/>
            <v:textbox>
              <w:txbxContent>
                <w:p>
                  <w:pPr>
                    <w:jc w:val="center"/>
                    <w:rPr>
                      <w:rFonts w:hint="eastAsia"/>
                      <w:sz w:val="28"/>
                      <w:szCs w:val="28"/>
                    </w:rPr>
                  </w:pPr>
                  <w:r>
                    <w:rPr>
                      <w:rFonts w:hint="eastAsia"/>
                      <w:sz w:val="28"/>
                      <w:szCs w:val="28"/>
                    </w:rPr>
                    <w:t>江源林区基层法院诉讼立案结案情况</w:t>
                  </w:r>
                </w:p>
                <w:p>
                  <w:pPr>
                    <w:jc w:val="center"/>
                    <w:rPr>
                      <w:rFonts w:hint="eastAsia"/>
                      <w:sz w:val="28"/>
                      <w:szCs w:val="28"/>
                    </w:rPr>
                  </w:pPr>
                  <w:r>
                    <w:rPr>
                      <w:rFonts w:hint="eastAsia"/>
                      <w:sz w:val="28"/>
                      <w:szCs w:val="28"/>
                    </w:rPr>
                    <w:t>(全年收案104件，结案107件，结案率为97.20%)</w:t>
                  </w:r>
                </w:p>
                <w:p>
                  <w:pPr>
                    <w:tabs>
                      <w:tab w:val="left" w:pos="1380"/>
                    </w:tabs>
                    <w:jc w:val="center"/>
                    <w:rPr>
                      <w:sz w:val="28"/>
                      <w:szCs w:val="28"/>
                    </w:rPr>
                  </w:pPr>
                </w:p>
                <w:p>
                  <w:pPr>
                    <w:jc w:val="center"/>
                    <w:rPr>
                      <w:sz w:val="28"/>
                      <w:szCs w:val="28"/>
                    </w:rPr>
                  </w:pPr>
                </w:p>
              </w:txbxContent>
            </v:textbox>
          </v:shape>
        </w:pict>
      </w:r>
      <w:r>
        <w:rPr>
          <w:rFonts w:hint="eastAsia" w:ascii="仿宋" w:hAnsi="仿宋" w:eastAsia="仿宋" w:cs="仿宋"/>
        </w:rPr>
        <w:drawing>
          <wp:inline distT="0" distB="0" distL="0" distR="0">
            <wp:extent cx="5274310" cy="3076575"/>
            <wp:effectExtent l="0" t="0" r="2540" b="9525"/>
            <wp:docPr id="1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tabs>
          <w:tab w:val="left" w:pos="1380"/>
        </w:tabs>
        <w:jc w:val="center"/>
        <w:rPr>
          <w:rFonts w:hint="eastAsia" w:ascii="仿宋" w:hAnsi="仿宋" w:eastAsia="仿宋" w:cs="仿宋"/>
          <w:lang w:eastAsia="zh-CN"/>
        </w:rPr>
      </w:pPr>
    </w:p>
    <w:p>
      <w:pPr>
        <w:tabs>
          <w:tab w:val="left" w:pos="1380"/>
        </w:tabs>
        <w:jc w:val="center"/>
        <w:rPr>
          <w:rFonts w:hint="eastAsia" w:ascii="仿宋" w:hAnsi="仿宋" w:eastAsia="仿宋" w:cs="仿宋"/>
          <w:lang w:eastAsia="zh-CN"/>
        </w:rPr>
      </w:pPr>
      <w:r>
        <w:rPr>
          <w:rFonts w:hint="eastAsia" w:ascii="仿宋" w:hAnsi="仿宋" w:eastAsia="仿宋" w:cs="仿宋"/>
          <w:lang w:eastAsia="zh-CN"/>
        </w:rPr>
        <w:t>（图表十二）</w:t>
      </w:r>
    </w:p>
    <w:p>
      <w:pPr>
        <w:snapToGrid w:val="0"/>
        <w:spacing w:line="500" w:lineRule="exact"/>
        <w:ind w:firstLine="640" w:firstLineChars="200"/>
        <w:rPr>
          <w:rFonts w:hint="eastAsia" w:ascii="仿宋" w:hAnsi="仿宋" w:eastAsia="仿宋" w:cs="仿宋"/>
          <w:color w:val="000000" w:themeColor="text1"/>
        </w:rPr>
      </w:pPr>
    </w:p>
    <w:p>
      <w:pPr>
        <w:snapToGrid w:val="0"/>
        <w:spacing w:line="500" w:lineRule="exact"/>
        <w:ind w:firstLine="640" w:firstLineChars="200"/>
        <w:rPr>
          <w:rFonts w:hint="eastAsia" w:ascii="仿宋" w:hAnsi="仿宋" w:eastAsia="仿宋" w:cs="仿宋"/>
          <w:color w:val="000000" w:themeColor="text1"/>
        </w:rPr>
      </w:pPr>
      <w:r>
        <w:rPr>
          <w:rFonts w:hint="eastAsia" w:ascii="仿宋" w:hAnsi="仿宋" w:eastAsia="仿宋" w:cs="仿宋"/>
          <w:color w:val="000000" w:themeColor="text1"/>
        </w:rPr>
        <w:t>5、民事案件调撤率表面上升，实为下降。2017年度两级院的民事调解率为58.15%，同比上升7.03个百分点；两级院的撤诉率为15.18%，同比下降2.06个百分点；两级院的调撤率为72.52%，同比下降4.15个百分点。其中，红石院供热合同纠纷系列案件均以调解方式结案，调撤率为83.7%，在表面上出现调撤方式结案较高的现象，但去除此类案件，各院的民事案件调撤率均有所下降。说明各院在审理案件过程中，需要注重讲究工作方法和处理效果，抓住林区地域范围小，人文气息浓厚，案情相对简单的优势，坚持“调解优先”的原则，促进多元化纠纷解决机制的构建，通过其他渠道分流化解矛盾纠纷，维护各方当事人的权益和当地的稳定，还有可能相对容易调解的案件已经通过诉调对接等多元纠纷解决机制得到解决，进入诉讼程序的是不容易调解的案件。</w:t>
      </w:r>
    </w:p>
    <w:p>
      <w:pPr>
        <w:spacing w:line="520" w:lineRule="exact"/>
        <w:ind w:firstLine="640" w:firstLineChars="200"/>
        <w:rPr>
          <w:rFonts w:hint="eastAsia" w:ascii="仿宋" w:hAnsi="仿宋" w:eastAsia="仿宋" w:cs="仿宋"/>
          <w:color w:val="000000" w:themeColor="text1"/>
        </w:rPr>
      </w:pPr>
      <w:r>
        <w:rPr>
          <w:rFonts w:hint="eastAsia" w:ascii="仿宋" w:hAnsi="仿宋" w:eastAsia="仿宋" w:cs="仿宋"/>
          <w:color w:val="000000" w:themeColor="text1"/>
        </w:rPr>
        <w:t>6、严格执行省院《关于加强案件审限管理的若干规定（试行）》还有很大的提升空间。案件审理周期是否包含扣除审限案件差距较大，林区法院案件总体数量较少，每一个案件对于审判质效各项指标均有较大影响，在案件审限方面表现尤为突出。2017年两级法院平均审理天数为53.4天。两级法院平均审理天数为32.7天，缩短了20.7天。两级法院仍需严格执行省院《关于加强案件审限管理的若干规定（试行）》的规定，严格把控案件审限管理，案件审理周期将会一步缩短，必将大大提高司法效率，减少当事人诉累。</w:t>
      </w:r>
    </w:p>
    <w:p>
      <w:pPr>
        <w:spacing w:line="520" w:lineRule="exact"/>
        <w:ind w:firstLine="645"/>
        <w:rPr>
          <w:rFonts w:hint="eastAsia" w:ascii="仿宋" w:hAnsi="仿宋" w:eastAsia="仿宋" w:cs="仿宋"/>
          <w:color w:val="000000" w:themeColor="text1"/>
        </w:rPr>
      </w:pPr>
      <w:r>
        <w:rPr>
          <w:rFonts w:hint="eastAsia" w:ascii="仿宋" w:hAnsi="仿宋" w:eastAsia="仿宋" w:cs="仿宋"/>
          <w:color w:val="000000" w:themeColor="text1"/>
        </w:rPr>
        <w:t>7、二审发改率上升较大，</w:t>
      </w:r>
      <w:r>
        <w:rPr>
          <w:rFonts w:hint="eastAsia" w:ascii="仿宋" w:hAnsi="仿宋" w:eastAsia="仿宋" w:cs="仿宋"/>
          <w:color w:val="000000" w:themeColor="text1"/>
          <w:lang w:eastAsia="zh-CN"/>
        </w:rPr>
        <w:t>需要引起重视。</w:t>
      </w:r>
      <w:r>
        <w:rPr>
          <w:rFonts w:hint="eastAsia" w:ascii="仿宋" w:hAnsi="仿宋" w:eastAsia="仿宋" w:cs="仿宋"/>
          <w:color w:val="000000" w:themeColor="text1"/>
        </w:rPr>
        <w:t>中院改判案件17件，二审案件改判率为26.15%，同比上升15.62个百分点，（其中，因为原判认定事实正确但处理不当的有3件；因为认定事实错误4件；因为撤销原判、驳回起诉的有5件；因为原判认定事实正确但适用法律错误、适用法律错误、量刑过轻、出现了新证据、原判证据不足，认定事实不清的各1件）；发回重审案件6件，二审案件发回率为9.23%，同比下降5.51个百分点（其中，因为事实不清证据不足的有3件；遗漏必须参加诉讼的当事人，遗漏或者超过诉讼请求的有2件；违反其他法定诉讼程序的有1件）；二审发改率为35.38%，同比上升10.12个百分点。一方面说明当事人的法律诉求提出了更高的要求，二审法院勇于承担责任；另一方面说明一审法院要重视案件质量，一审案件质量的提高，不仅有助于降低二审的发改比例，还有可能降低上诉率，甚至申诉上访率，同时需要两级法院加强沟通交流，也要加强司法认识，统一裁判尺度。</w:t>
      </w:r>
    </w:p>
    <w:p>
      <w:pPr>
        <w:rPr>
          <w:rFonts w:hint="eastAsia" w:ascii="仿宋" w:hAnsi="仿宋" w:eastAsia="仿宋" w:cs="仿宋"/>
          <w:color w:val="000000" w:themeColor="text1"/>
        </w:rPr>
      </w:pPr>
      <w:r>
        <w:rPr>
          <w:rFonts w:hint="eastAsia" w:ascii="仿宋" w:hAnsi="仿宋" w:eastAsia="仿宋" w:cs="仿宋"/>
          <w:color w:val="000000" w:themeColor="text1"/>
        </w:rPr>
        <w:t xml:space="preserve">                     长春林区中级法院审判管理办公室</w:t>
      </w:r>
    </w:p>
    <w:p>
      <w:pPr>
        <w:ind w:firstLine="4640" w:firstLineChars="1450"/>
        <w:rPr>
          <w:rFonts w:hint="eastAsia" w:ascii="仿宋" w:hAnsi="仿宋" w:eastAsia="仿宋" w:cs="仿宋"/>
        </w:rPr>
      </w:pPr>
      <w:r>
        <w:rPr>
          <w:rFonts w:hint="eastAsia" w:ascii="仿宋" w:hAnsi="仿宋" w:eastAsia="仿宋" w:cs="仿宋"/>
        </w:rPr>
        <w:t>2018年1月9日</w:t>
      </w:r>
      <w:bookmarkStart w:id="0" w:name="_GoBack"/>
      <w:bookmarkEnd w:id="0"/>
    </w:p>
    <w:sectPr>
      <w:headerReference r:id="rId3" w:type="default"/>
      <w:footerReference r:id="rId4" w:type="default"/>
      <w:pgSz w:w="11906" w:h="16838"/>
      <w:pgMar w:top="1814" w:right="1588" w:bottom="1418" w:left="1588" w:header="680" w:footer="680" w:gutter="0"/>
      <w:pgNumType w:fmt="numberInDash" w:start="1"/>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sz w:val="28"/>
        <w:szCs w:val="28"/>
      </w:rPr>
    </w:pPr>
    <w:r>
      <w:rPr>
        <w:sz w:val="28"/>
        <w:szCs w:val="28"/>
      </w:rPr>
      <w:pict>
        <v:shape id="_x0000_s2049" o:spid="_x0000_s2049" o:spt="202" type="#_x0000_t202" style="position:absolute;left:0pt;margin-top:0pt;height:25.95pt;width:39.3pt;mso-position-horizontal:center;mso-position-horizontal-relative:margin;z-index:251658240;mso-width-relative:page;mso-height-relative:page;" filled="f" stroked="f" coordsize="21600,21600">
          <v:path/>
          <v:fill on="f" focussize="0,0"/>
          <v:stroke on="f" joinstyle="miter"/>
          <v:imagedata o:title=""/>
          <o:lock v:ext="edit"/>
          <v:textbox inset="0mm,0mm,0mm,0mm">
            <w:txbxContent>
              <w:p>
                <w:pPr>
                  <w:snapToGrid w:val="0"/>
                  <w:rPr>
                    <w:rFonts w:ascii="宋体" w:eastAsia="宋体"/>
                    <w:sz w:val="28"/>
                    <w:szCs w:val="28"/>
                  </w:rPr>
                </w:pPr>
                <w:r>
                  <w:rPr>
                    <w:rFonts w:hint="eastAsia" w:ascii="宋体" w:eastAsia="宋体"/>
                    <w:sz w:val="28"/>
                    <w:szCs w:val="28"/>
                  </w:rPr>
                  <w:fldChar w:fldCharType="begin"/>
                </w:r>
                <w:r>
                  <w:rPr>
                    <w:rFonts w:hint="eastAsia" w:ascii="宋体" w:eastAsia="宋体"/>
                    <w:sz w:val="28"/>
                    <w:szCs w:val="28"/>
                  </w:rPr>
                  <w:instrText xml:space="preserve"> PAGE  \* MERGEFORMAT </w:instrText>
                </w:r>
                <w:r>
                  <w:rPr>
                    <w:rFonts w:hint="eastAsia" w:ascii="宋体" w:eastAsia="宋体"/>
                    <w:sz w:val="28"/>
                    <w:szCs w:val="28"/>
                  </w:rPr>
                  <w:fldChar w:fldCharType="separate"/>
                </w:r>
                <w:r>
                  <w:rPr>
                    <w:rFonts w:ascii="宋体" w:eastAsia="宋体"/>
                    <w:sz w:val="28"/>
                    <w:szCs w:val="28"/>
                  </w:rPr>
                  <w:t>- 11 -</w:t>
                </w:r>
                <w:r>
                  <w:rPr>
                    <w:rFonts w:hint="eastAsia" w:ascii="宋体" w:eastAsia="宋体"/>
                    <w:sz w:val="28"/>
                    <w:szCs w:val="28"/>
                  </w:rPr>
                  <w:fldChar w:fldCharType="end"/>
                </w:r>
              </w:p>
            </w:txbxContent>
          </v:textbox>
        </v:shape>
      </w:pic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gutterAtTop/>
  <w:documentProtection w:enforcement="0"/>
  <w:defaultTabStop w:val="420"/>
  <w:drawingGridHorizontalSpacing w:val="160"/>
  <w:drawingGridVerticalSpacing w:val="435"/>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782"/>
    <w:rsid w:val="00002331"/>
    <w:rsid w:val="000033B5"/>
    <w:rsid w:val="0000419C"/>
    <w:rsid w:val="00004A97"/>
    <w:rsid w:val="00005666"/>
    <w:rsid w:val="00007AA9"/>
    <w:rsid w:val="00010042"/>
    <w:rsid w:val="00010514"/>
    <w:rsid w:val="00010C4E"/>
    <w:rsid w:val="00010E06"/>
    <w:rsid w:val="0001122C"/>
    <w:rsid w:val="000117D6"/>
    <w:rsid w:val="00013FAF"/>
    <w:rsid w:val="000147AF"/>
    <w:rsid w:val="0001513F"/>
    <w:rsid w:val="00015A98"/>
    <w:rsid w:val="000160E7"/>
    <w:rsid w:val="00016A77"/>
    <w:rsid w:val="00017536"/>
    <w:rsid w:val="00020DC5"/>
    <w:rsid w:val="00020E5A"/>
    <w:rsid w:val="000246DA"/>
    <w:rsid w:val="00024956"/>
    <w:rsid w:val="00024CB5"/>
    <w:rsid w:val="00024F81"/>
    <w:rsid w:val="00030D89"/>
    <w:rsid w:val="0003232F"/>
    <w:rsid w:val="00032BBC"/>
    <w:rsid w:val="00032E9F"/>
    <w:rsid w:val="00033F36"/>
    <w:rsid w:val="000357E2"/>
    <w:rsid w:val="000362DD"/>
    <w:rsid w:val="0003675C"/>
    <w:rsid w:val="000368DF"/>
    <w:rsid w:val="00036C3A"/>
    <w:rsid w:val="00036C6F"/>
    <w:rsid w:val="000400A8"/>
    <w:rsid w:val="0004031E"/>
    <w:rsid w:val="000414FE"/>
    <w:rsid w:val="00043009"/>
    <w:rsid w:val="00045632"/>
    <w:rsid w:val="00047CF0"/>
    <w:rsid w:val="0005038E"/>
    <w:rsid w:val="00050E69"/>
    <w:rsid w:val="00052730"/>
    <w:rsid w:val="0005436D"/>
    <w:rsid w:val="000546D7"/>
    <w:rsid w:val="000566E8"/>
    <w:rsid w:val="00056965"/>
    <w:rsid w:val="00056C61"/>
    <w:rsid w:val="00056CB7"/>
    <w:rsid w:val="00061AF9"/>
    <w:rsid w:val="00062825"/>
    <w:rsid w:val="000632C7"/>
    <w:rsid w:val="000635CA"/>
    <w:rsid w:val="00063C73"/>
    <w:rsid w:val="0006520B"/>
    <w:rsid w:val="00065A5F"/>
    <w:rsid w:val="00065BC2"/>
    <w:rsid w:val="00066541"/>
    <w:rsid w:val="00066933"/>
    <w:rsid w:val="000669E9"/>
    <w:rsid w:val="000675E1"/>
    <w:rsid w:val="00067758"/>
    <w:rsid w:val="00067BA3"/>
    <w:rsid w:val="00067F1F"/>
    <w:rsid w:val="000707FB"/>
    <w:rsid w:val="000711FB"/>
    <w:rsid w:val="00071801"/>
    <w:rsid w:val="00071B44"/>
    <w:rsid w:val="00072BAC"/>
    <w:rsid w:val="00072CE8"/>
    <w:rsid w:val="00073094"/>
    <w:rsid w:val="0007361B"/>
    <w:rsid w:val="0007371D"/>
    <w:rsid w:val="00076AFD"/>
    <w:rsid w:val="00077002"/>
    <w:rsid w:val="00080388"/>
    <w:rsid w:val="00081DF6"/>
    <w:rsid w:val="00082031"/>
    <w:rsid w:val="00084867"/>
    <w:rsid w:val="00084A29"/>
    <w:rsid w:val="00087095"/>
    <w:rsid w:val="0008717D"/>
    <w:rsid w:val="00087DCB"/>
    <w:rsid w:val="00091EBE"/>
    <w:rsid w:val="00092748"/>
    <w:rsid w:val="00092B4E"/>
    <w:rsid w:val="000931C5"/>
    <w:rsid w:val="00093A54"/>
    <w:rsid w:val="00094C01"/>
    <w:rsid w:val="00094FC9"/>
    <w:rsid w:val="000952AA"/>
    <w:rsid w:val="00095366"/>
    <w:rsid w:val="0009666D"/>
    <w:rsid w:val="000A04B4"/>
    <w:rsid w:val="000A1664"/>
    <w:rsid w:val="000A2C87"/>
    <w:rsid w:val="000A3857"/>
    <w:rsid w:val="000A4E0B"/>
    <w:rsid w:val="000A59E6"/>
    <w:rsid w:val="000A5E29"/>
    <w:rsid w:val="000A6CCC"/>
    <w:rsid w:val="000A70AF"/>
    <w:rsid w:val="000A75B7"/>
    <w:rsid w:val="000A7A86"/>
    <w:rsid w:val="000A7C47"/>
    <w:rsid w:val="000A7FA8"/>
    <w:rsid w:val="000B059E"/>
    <w:rsid w:val="000B218C"/>
    <w:rsid w:val="000B2D95"/>
    <w:rsid w:val="000B5CB7"/>
    <w:rsid w:val="000B64AF"/>
    <w:rsid w:val="000B67CE"/>
    <w:rsid w:val="000B7ADE"/>
    <w:rsid w:val="000C04BD"/>
    <w:rsid w:val="000C27CF"/>
    <w:rsid w:val="000C2EBF"/>
    <w:rsid w:val="000C6E68"/>
    <w:rsid w:val="000C72E2"/>
    <w:rsid w:val="000D05EB"/>
    <w:rsid w:val="000D25C8"/>
    <w:rsid w:val="000D26EF"/>
    <w:rsid w:val="000D29B7"/>
    <w:rsid w:val="000D5B0B"/>
    <w:rsid w:val="000D6ECC"/>
    <w:rsid w:val="000D73AE"/>
    <w:rsid w:val="000D76F7"/>
    <w:rsid w:val="000D7832"/>
    <w:rsid w:val="000E000B"/>
    <w:rsid w:val="000E12B6"/>
    <w:rsid w:val="000E164F"/>
    <w:rsid w:val="000E25F0"/>
    <w:rsid w:val="000E38AE"/>
    <w:rsid w:val="000E3B8B"/>
    <w:rsid w:val="000E50AD"/>
    <w:rsid w:val="000E54E7"/>
    <w:rsid w:val="000E5E68"/>
    <w:rsid w:val="000E5EE6"/>
    <w:rsid w:val="000E7A3D"/>
    <w:rsid w:val="000F0038"/>
    <w:rsid w:val="000F07E7"/>
    <w:rsid w:val="000F0A4A"/>
    <w:rsid w:val="000F12BB"/>
    <w:rsid w:val="000F186C"/>
    <w:rsid w:val="000F1D03"/>
    <w:rsid w:val="000F2486"/>
    <w:rsid w:val="000F5104"/>
    <w:rsid w:val="000F5790"/>
    <w:rsid w:val="000F5943"/>
    <w:rsid w:val="000F6048"/>
    <w:rsid w:val="000F6D12"/>
    <w:rsid w:val="00100855"/>
    <w:rsid w:val="001031C4"/>
    <w:rsid w:val="00105096"/>
    <w:rsid w:val="001072ED"/>
    <w:rsid w:val="001077E1"/>
    <w:rsid w:val="00111FF8"/>
    <w:rsid w:val="00112BF5"/>
    <w:rsid w:val="00114C46"/>
    <w:rsid w:val="00115DC3"/>
    <w:rsid w:val="00122C24"/>
    <w:rsid w:val="00123962"/>
    <w:rsid w:val="00123D6E"/>
    <w:rsid w:val="001240DF"/>
    <w:rsid w:val="00131287"/>
    <w:rsid w:val="00132826"/>
    <w:rsid w:val="00132EB9"/>
    <w:rsid w:val="0013326A"/>
    <w:rsid w:val="00133732"/>
    <w:rsid w:val="00134A22"/>
    <w:rsid w:val="0013537C"/>
    <w:rsid w:val="0013731E"/>
    <w:rsid w:val="00140343"/>
    <w:rsid w:val="00140807"/>
    <w:rsid w:val="00140FB7"/>
    <w:rsid w:val="00141574"/>
    <w:rsid w:val="00141B82"/>
    <w:rsid w:val="00141EA7"/>
    <w:rsid w:val="00142A3F"/>
    <w:rsid w:val="00142FB6"/>
    <w:rsid w:val="0014335B"/>
    <w:rsid w:val="00143EB0"/>
    <w:rsid w:val="00143ED9"/>
    <w:rsid w:val="00143FEE"/>
    <w:rsid w:val="00144330"/>
    <w:rsid w:val="00144D01"/>
    <w:rsid w:val="00145F48"/>
    <w:rsid w:val="001469EE"/>
    <w:rsid w:val="00150097"/>
    <w:rsid w:val="00151596"/>
    <w:rsid w:val="001515F9"/>
    <w:rsid w:val="0015380F"/>
    <w:rsid w:val="00155624"/>
    <w:rsid w:val="00155A12"/>
    <w:rsid w:val="00155C1F"/>
    <w:rsid w:val="0015600B"/>
    <w:rsid w:val="0015665A"/>
    <w:rsid w:val="00156739"/>
    <w:rsid w:val="00156CD6"/>
    <w:rsid w:val="001601C3"/>
    <w:rsid w:val="00160620"/>
    <w:rsid w:val="00160F85"/>
    <w:rsid w:val="00161BB5"/>
    <w:rsid w:val="001652AB"/>
    <w:rsid w:val="001673A6"/>
    <w:rsid w:val="00167979"/>
    <w:rsid w:val="00170274"/>
    <w:rsid w:val="0017270C"/>
    <w:rsid w:val="00172907"/>
    <w:rsid w:val="00172A27"/>
    <w:rsid w:val="00172E63"/>
    <w:rsid w:val="00176363"/>
    <w:rsid w:val="0017705B"/>
    <w:rsid w:val="00180255"/>
    <w:rsid w:val="00180648"/>
    <w:rsid w:val="00180A4A"/>
    <w:rsid w:val="00180D82"/>
    <w:rsid w:val="0018326D"/>
    <w:rsid w:val="001833F2"/>
    <w:rsid w:val="00184C06"/>
    <w:rsid w:val="0018527F"/>
    <w:rsid w:val="00185296"/>
    <w:rsid w:val="0018703D"/>
    <w:rsid w:val="00190506"/>
    <w:rsid w:val="00192324"/>
    <w:rsid w:val="001944D7"/>
    <w:rsid w:val="001946DC"/>
    <w:rsid w:val="001969C8"/>
    <w:rsid w:val="00196FB8"/>
    <w:rsid w:val="001A0C14"/>
    <w:rsid w:val="001A0FF0"/>
    <w:rsid w:val="001A1722"/>
    <w:rsid w:val="001A1893"/>
    <w:rsid w:val="001A1996"/>
    <w:rsid w:val="001A1C71"/>
    <w:rsid w:val="001A1D9D"/>
    <w:rsid w:val="001A258B"/>
    <w:rsid w:val="001A2AD9"/>
    <w:rsid w:val="001A31DC"/>
    <w:rsid w:val="001A6536"/>
    <w:rsid w:val="001B09DE"/>
    <w:rsid w:val="001B16FF"/>
    <w:rsid w:val="001B44FD"/>
    <w:rsid w:val="001B54A4"/>
    <w:rsid w:val="001B550E"/>
    <w:rsid w:val="001B634D"/>
    <w:rsid w:val="001B7FF6"/>
    <w:rsid w:val="001C1E62"/>
    <w:rsid w:val="001C22F4"/>
    <w:rsid w:val="001C28A8"/>
    <w:rsid w:val="001C3275"/>
    <w:rsid w:val="001C39A8"/>
    <w:rsid w:val="001C6852"/>
    <w:rsid w:val="001C78EF"/>
    <w:rsid w:val="001C7C15"/>
    <w:rsid w:val="001D0B50"/>
    <w:rsid w:val="001D1656"/>
    <w:rsid w:val="001D2FE8"/>
    <w:rsid w:val="001D4A8A"/>
    <w:rsid w:val="001D4C31"/>
    <w:rsid w:val="001D5103"/>
    <w:rsid w:val="001D5DFD"/>
    <w:rsid w:val="001E0572"/>
    <w:rsid w:val="001E1D42"/>
    <w:rsid w:val="001E26EC"/>
    <w:rsid w:val="001E2FC9"/>
    <w:rsid w:val="001E76B8"/>
    <w:rsid w:val="001F21C2"/>
    <w:rsid w:val="001F3109"/>
    <w:rsid w:val="001F342B"/>
    <w:rsid w:val="001F42F2"/>
    <w:rsid w:val="001F4DAF"/>
    <w:rsid w:val="001F5F94"/>
    <w:rsid w:val="001F7E34"/>
    <w:rsid w:val="00200FEF"/>
    <w:rsid w:val="00201A83"/>
    <w:rsid w:val="00201AFD"/>
    <w:rsid w:val="00203031"/>
    <w:rsid w:val="00203950"/>
    <w:rsid w:val="00203A8F"/>
    <w:rsid w:val="00206500"/>
    <w:rsid w:val="00207F79"/>
    <w:rsid w:val="00210475"/>
    <w:rsid w:val="002110D9"/>
    <w:rsid w:val="00212FB3"/>
    <w:rsid w:val="0021321F"/>
    <w:rsid w:val="00213235"/>
    <w:rsid w:val="00214D3D"/>
    <w:rsid w:val="00214FC3"/>
    <w:rsid w:val="0021562C"/>
    <w:rsid w:val="0021596A"/>
    <w:rsid w:val="00217429"/>
    <w:rsid w:val="00217E33"/>
    <w:rsid w:val="00220A09"/>
    <w:rsid w:val="002219FA"/>
    <w:rsid w:val="002228E4"/>
    <w:rsid w:val="00223342"/>
    <w:rsid w:val="00223734"/>
    <w:rsid w:val="0022378E"/>
    <w:rsid w:val="00224372"/>
    <w:rsid w:val="002249B4"/>
    <w:rsid w:val="00226BD8"/>
    <w:rsid w:val="00227DF7"/>
    <w:rsid w:val="002304B9"/>
    <w:rsid w:val="002308A8"/>
    <w:rsid w:val="002315A6"/>
    <w:rsid w:val="00232746"/>
    <w:rsid w:val="00233603"/>
    <w:rsid w:val="0023540C"/>
    <w:rsid w:val="00235E93"/>
    <w:rsid w:val="0023712D"/>
    <w:rsid w:val="00237994"/>
    <w:rsid w:val="0024098F"/>
    <w:rsid w:val="002410B2"/>
    <w:rsid w:val="002421F8"/>
    <w:rsid w:val="00242DDE"/>
    <w:rsid w:val="0024576A"/>
    <w:rsid w:val="002475E5"/>
    <w:rsid w:val="00251382"/>
    <w:rsid w:val="00251AD8"/>
    <w:rsid w:val="00251E0E"/>
    <w:rsid w:val="002523FF"/>
    <w:rsid w:val="002537DA"/>
    <w:rsid w:val="00253B08"/>
    <w:rsid w:val="002557AC"/>
    <w:rsid w:val="0025648E"/>
    <w:rsid w:val="00256693"/>
    <w:rsid w:val="002575B5"/>
    <w:rsid w:val="00257E55"/>
    <w:rsid w:val="00260CD4"/>
    <w:rsid w:val="002619A5"/>
    <w:rsid w:val="00262BB1"/>
    <w:rsid w:val="00263E5D"/>
    <w:rsid w:val="00265031"/>
    <w:rsid w:val="00265736"/>
    <w:rsid w:val="00266046"/>
    <w:rsid w:val="00266068"/>
    <w:rsid w:val="00266778"/>
    <w:rsid w:val="002671D3"/>
    <w:rsid w:val="00267E79"/>
    <w:rsid w:val="00270E23"/>
    <w:rsid w:val="002717E4"/>
    <w:rsid w:val="00272683"/>
    <w:rsid w:val="00272F52"/>
    <w:rsid w:val="00273D6E"/>
    <w:rsid w:val="00275038"/>
    <w:rsid w:val="0027533B"/>
    <w:rsid w:val="002758E5"/>
    <w:rsid w:val="00276754"/>
    <w:rsid w:val="00276E25"/>
    <w:rsid w:val="00276E7D"/>
    <w:rsid w:val="002771EE"/>
    <w:rsid w:val="00280312"/>
    <w:rsid w:val="002818F1"/>
    <w:rsid w:val="002836F2"/>
    <w:rsid w:val="00285988"/>
    <w:rsid w:val="00285B8C"/>
    <w:rsid w:val="00287190"/>
    <w:rsid w:val="00287F45"/>
    <w:rsid w:val="00293C5E"/>
    <w:rsid w:val="00293DAD"/>
    <w:rsid w:val="00294D06"/>
    <w:rsid w:val="002950A3"/>
    <w:rsid w:val="002951C6"/>
    <w:rsid w:val="002973D7"/>
    <w:rsid w:val="00297C93"/>
    <w:rsid w:val="002A0473"/>
    <w:rsid w:val="002A09E8"/>
    <w:rsid w:val="002A4B26"/>
    <w:rsid w:val="002A67FC"/>
    <w:rsid w:val="002A6A75"/>
    <w:rsid w:val="002A7C02"/>
    <w:rsid w:val="002B03CB"/>
    <w:rsid w:val="002B39B2"/>
    <w:rsid w:val="002B3FCB"/>
    <w:rsid w:val="002B4342"/>
    <w:rsid w:val="002B4474"/>
    <w:rsid w:val="002B4CA6"/>
    <w:rsid w:val="002B4F37"/>
    <w:rsid w:val="002B5631"/>
    <w:rsid w:val="002B5D9F"/>
    <w:rsid w:val="002B5EE9"/>
    <w:rsid w:val="002B6368"/>
    <w:rsid w:val="002B7E5A"/>
    <w:rsid w:val="002C023C"/>
    <w:rsid w:val="002C1AB3"/>
    <w:rsid w:val="002C2C81"/>
    <w:rsid w:val="002C2FC2"/>
    <w:rsid w:val="002C310C"/>
    <w:rsid w:val="002C3137"/>
    <w:rsid w:val="002C3C66"/>
    <w:rsid w:val="002C4A35"/>
    <w:rsid w:val="002C5F08"/>
    <w:rsid w:val="002C65EE"/>
    <w:rsid w:val="002C6FE0"/>
    <w:rsid w:val="002D01A1"/>
    <w:rsid w:val="002D0979"/>
    <w:rsid w:val="002D0F90"/>
    <w:rsid w:val="002D10D5"/>
    <w:rsid w:val="002D10E5"/>
    <w:rsid w:val="002D26EC"/>
    <w:rsid w:val="002D45D0"/>
    <w:rsid w:val="002D4C8E"/>
    <w:rsid w:val="002D5F5F"/>
    <w:rsid w:val="002D6712"/>
    <w:rsid w:val="002D6BCA"/>
    <w:rsid w:val="002D6ED7"/>
    <w:rsid w:val="002D71D3"/>
    <w:rsid w:val="002D7891"/>
    <w:rsid w:val="002E332E"/>
    <w:rsid w:val="002E3465"/>
    <w:rsid w:val="002E3846"/>
    <w:rsid w:val="002E3B0C"/>
    <w:rsid w:val="002E45CF"/>
    <w:rsid w:val="002E7B85"/>
    <w:rsid w:val="002F0929"/>
    <w:rsid w:val="002F13B4"/>
    <w:rsid w:val="002F163D"/>
    <w:rsid w:val="002F23CF"/>
    <w:rsid w:val="002F4674"/>
    <w:rsid w:val="002F46A6"/>
    <w:rsid w:val="002F4D7D"/>
    <w:rsid w:val="002F621E"/>
    <w:rsid w:val="002F6716"/>
    <w:rsid w:val="002F6DF3"/>
    <w:rsid w:val="002F734F"/>
    <w:rsid w:val="0030080E"/>
    <w:rsid w:val="00301010"/>
    <w:rsid w:val="00301121"/>
    <w:rsid w:val="0030186C"/>
    <w:rsid w:val="0030408F"/>
    <w:rsid w:val="00304CD7"/>
    <w:rsid w:val="0030566B"/>
    <w:rsid w:val="00305CC6"/>
    <w:rsid w:val="00305FB2"/>
    <w:rsid w:val="00306705"/>
    <w:rsid w:val="00306719"/>
    <w:rsid w:val="00306961"/>
    <w:rsid w:val="00306E06"/>
    <w:rsid w:val="0030703A"/>
    <w:rsid w:val="00307263"/>
    <w:rsid w:val="003075F3"/>
    <w:rsid w:val="00307E7C"/>
    <w:rsid w:val="00310403"/>
    <w:rsid w:val="00311DAB"/>
    <w:rsid w:val="0031238D"/>
    <w:rsid w:val="00312977"/>
    <w:rsid w:val="0031418C"/>
    <w:rsid w:val="00314623"/>
    <w:rsid w:val="00315820"/>
    <w:rsid w:val="00316465"/>
    <w:rsid w:val="00316BAB"/>
    <w:rsid w:val="00317084"/>
    <w:rsid w:val="00317EE2"/>
    <w:rsid w:val="00320DD2"/>
    <w:rsid w:val="003224D9"/>
    <w:rsid w:val="0032267A"/>
    <w:rsid w:val="00322F9A"/>
    <w:rsid w:val="003233EC"/>
    <w:rsid w:val="003237B9"/>
    <w:rsid w:val="00324543"/>
    <w:rsid w:val="0032484E"/>
    <w:rsid w:val="003250C2"/>
    <w:rsid w:val="0032704F"/>
    <w:rsid w:val="003272BC"/>
    <w:rsid w:val="00327BEC"/>
    <w:rsid w:val="00331F3D"/>
    <w:rsid w:val="00333B8A"/>
    <w:rsid w:val="00334670"/>
    <w:rsid w:val="00340C9F"/>
    <w:rsid w:val="00341918"/>
    <w:rsid w:val="003423B2"/>
    <w:rsid w:val="003425A7"/>
    <w:rsid w:val="0034291B"/>
    <w:rsid w:val="00342FDE"/>
    <w:rsid w:val="00343F9F"/>
    <w:rsid w:val="0034685F"/>
    <w:rsid w:val="00346976"/>
    <w:rsid w:val="0034794C"/>
    <w:rsid w:val="003540FA"/>
    <w:rsid w:val="00354E28"/>
    <w:rsid w:val="00356F28"/>
    <w:rsid w:val="00357533"/>
    <w:rsid w:val="00360DDE"/>
    <w:rsid w:val="00362C2E"/>
    <w:rsid w:val="00363D9B"/>
    <w:rsid w:val="00363E27"/>
    <w:rsid w:val="00364520"/>
    <w:rsid w:val="00365308"/>
    <w:rsid w:val="00365CB2"/>
    <w:rsid w:val="003662C5"/>
    <w:rsid w:val="00370090"/>
    <w:rsid w:val="003709CE"/>
    <w:rsid w:val="00371609"/>
    <w:rsid w:val="003739B3"/>
    <w:rsid w:val="00375496"/>
    <w:rsid w:val="00375BDC"/>
    <w:rsid w:val="003765F6"/>
    <w:rsid w:val="00376AE7"/>
    <w:rsid w:val="00377545"/>
    <w:rsid w:val="00382619"/>
    <w:rsid w:val="00385DA0"/>
    <w:rsid w:val="00386224"/>
    <w:rsid w:val="003868BB"/>
    <w:rsid w:val="0039075C"/>
    <w:rsid w:val="0039268D"/>
    <w:rsid w:val="0039355C"/>
    <w:rsid w:val="003938F5"/>
    <w:rsid w:val="003967BF"/>
    <w:rsid w:val="003A1872"/>
    <w:rsid w:val="003A2BF7"/>
    <w:rsid w:val="003A3E80"/>
    <w:rsid w:val="003A4B4C"/>
    <w:rsid w:val="003A53A1"/>
    <w:rsid w:val="003B084A"/>
    <w:rsid w:val="003B105A"/>
    <w:rsid w:val="003B3144"/>
    <w:rsid w:val="003B3273"/>
    <w:rsid w:val="003B3506"/>
    <w:rsid w:val="003B6298"/>
    <w:rsid w:val="003B6720"/>
    <w:rsid w:val="003B72C3"/>
    <w:rsid w:val="003C040A"/>
    <w:rsid w:val="003C14EF"/>
    <w:rsid w:val="003C1823"/>
    <w:rsid w:val="003C19A7"/>
    <w:rsid w:val="003C1F12"/>
    <w:rsid w:val="003C25FB"/>
    <w:rsid w:val="003C2A51"/>
    <w:rsid w:val="003C2D63"/>
    <w:rsid w:val="003C408B"/>
    <w:rsid w:val="003C40A3"/>
    <w:rsid w:val="003C563A"/>
    <w:rsid w:val="003C66D3"/>
    <w:rsid w:val="003C68C5"/>
    <w:rsid w:val="003C6A06"/>
    <w:rsid w:val="003C6A37"/>
    <w:rsid w:val="003C6B6C"/>
    <w:rsid w:val="003C7386"/>
    <w:rsid w:val="003D3C25"/>
    <w:rsid w:val="003D4132"/>
    <w:rsid w:val="003D5D07"/>
    <w:rsid w:val="003D6D76"/>
    <w:rsid w:val="003D764D"/>
    <w:rsid w:val="003D7B4F"/>
    <w:rsid w:val="003D7EE9"/>
    <w:rsid w:val="003E13E2"/>
    <w:rsid w:val="003E1494"/>
    <w:rsid w:val="003E1C20"/>
    <w:rsid w:val="003E2D68"/>
    <w:rsid w:val="003E2DAD"/>
    <w:rsid w:val="003E3099"/>
    <w:rsid w:val="003E3169"/>
    <w:rsid w:val="003E4A8D"/>
    <w:rsid w:val="003E4C53"/>
    <w:rsid w:val="003E56DB"/>
    <w:rsid w:val="003E62B1"/>
    <w:rsid w:val="003E6ACD"/>
    <w:rsid w:val="003F0982"/>
    <w:rsid w:val="003F0D39"/>
    <w:rsid w:val="003F3347"/>
    <w:rsid w:val="003F3F73"/>
    <w:rsid w:val="003F783B"/>
    <w:rsid w:val="003F7A29"/>
    <w:rsid w:val="003F7E53"/>
    <w:rsid w:val="00400F7C"/>
    <w:rsid w:val="004016C1"/>
    <w:rsid w:val="00402F0E"/>
    <w:rsid w:val="004044BA"/>
    <w:rsid w:val="00405741"/>
    <w:rsid w:val="00405EA1"/>
    <w:rsid w:val="004067D1"/>
    <w:rsid w:val="00407248"/>
    <w:rsid w:val="00407F0A"/>
    <w:rsid w:val="004104E8"/>
    <w:rsid w:val="0041092F"/>
    <w:rsid w:val="00410D02"/>
    <w:rsid w:val="00411CB4"/>
    <w:rsid w:val="00412B2E"/>
    <w:rsid w:val="004145FF"/>
    <w:rsid w:val="00414F5E"/>
    <w:rsid w:val="00415123"/>
    <w:rsid w:val="004152F7"/>
    <w:rsid w:val="00416389"/>
    <w:rsid w:val="00420306"/>
    <w:rsid w:val="00420D49"/>
    <w:rsid w:val="004220F5"/>
    <w:rsid w:val="0042222E"/>
    <w:rsid w:val="00422944"/>
    <w:rsid w:val="00426ED4"/>
    <w:rsid w:val="0042798E"/>
    <w:rsid w:val="00431B47"/>
    <w:rsid w:val="00432346"/>
    <w:rsid w:val="00432484"/>
    <w:rsid w:val="004340CF"/>
    <w:rsid w:val="0043451D"/>
    <w:rsid w:val="004345B0"/>
    <w:rsid w:val="00435048"/>
    <w:rsid w:val="004353E6"/>
    <w:rsid w:val="004420C8"/>
    <w:rsid w:val="004450B9"/>
    <w:rsid w:val="00445109"/>
    <w:rsid w:val="004464AA"/>
    <w:rsid w:val="00446F15"/>
    <w:rsid w:val="00451348"/>
    <w:rsid w:val="004514A1"/>
    <w:rsid w:val="00452807"/>
    <w:rsid w:val="00452C59"/>
    <w:rsid w:val="004601DD"/>
    <w:rsid w:val="00460AE4"/>
    <w:rsid w:val="004631AE"/>
    <w:rsid w:val="004631C8"/>
    <w:rsid w:val="0046461E"/>
    <w:rsid w:val="00464A48"/>
    <w:rsid w:val="004656AE"/>
    <w:rsid w:val="00465CAA"/>
    <w:rsid w:val="00467336"/>
    <w:rsid w:val="00471E3E"/>
    <w:rsid w:val="00472518"/>
    <w:rsid w:val="00473330"/>
    <w:rsid w:val="00474DCC"/>
    <w:rsid w:val="00475014"/>
    <w:rsid w:val="00475E00"/>
    <w:rsid w:val="004765C8"/>
    <w:rsid w:val="00476804"/>
    <w:rsid w:val="00476844"/>
    <w:rsid w:val="00476BC8"/>
    <w:rsid w:val="00477F8E"/>
    <w:rsid w:val="00477FA4"/>
    <w:rsid w:val="004802BF"/>
    <w:rsid w:val="004844A6"/>
    <w:rsid w:val="00484527"/>
    <w:rsid w:val="00485E19"/>
    <w:rsid w:val="00486353"/>
    <w:rsid w:val="00486444"/>
    <w:rsid w:val="00487FE7"/>
    <w:rsid w:val="004909D4"/>
    <w:rsid w:val="00491B82"/>
    <w:rsid w:val="0049252A"/>
    <w:rsid w:val="00492D8C"/>
    <w:rsid w:val="004935AE"/>
    <w:rsid w:val="0049391D"/>
    <w:rsid w:val="00493AB4"/>
    <w:rsid w:val="00493FEA"/>
    <w:rsid w:val="00496B21"/>
    <w:rsid w:val="00496DCB"/>
    <w:rsid w:val="004A1F49"/>
    <w:rsid w:val="004A28B1"/>
    <w:rsid w:val="004A29F5"/>
    <w:rsid w:val="004A4056"/>
    <w:rsid w:val="004A563F"/>
    <w:rsid w:val="004A6C3E"/>
    <w:rsid w:val="004B0560"/>
    <w:rsid w:val="004B0DBC"/>
    <w:rsid w:val="004B1B8B"/>
    <w:rsid w:val="004B30A3"/>
    <w:rsid w:val="004B4B5E"/>
    <w:rsid w:val="004B4C9D"/>
    <w:rsid w:val="004B6698"/>
    <w:rsid w:val="004C0122"/>
    <w:rsid w:val="004C1720"/>
    <w:rsid w:val="004C19ED"/>
    <w:rsid w:val="004C53AD"/>
    <w:rsid w:val="004C6550"/>
    <w:rsid w:val="004D1ED3"/>
    <w:rsid w:val="004D2482"/>
    <w:rsid w:val="004D253C"/>
    <w:rsid w:val="004D2842"/>
    <w:rsid w:val="004D2B2D"/>
    <w:rsid w:val="004D3141"/>
    <w:rsid w:val="004D5281"/>
    <w:rsid w:val="004D587B"/>
    <w:rsid w:val="004D6A76"/>
    <w:rsid w:val="004D6D3D"/>
    <w:rsid w:val="004E118B"/>
    <w:rsid w:val="004E5104"/>
    <w:rsid w:val="004E5A0B"/>
    <w:rsid w:val="004E6884"/>
    <w:rsid w:val="004E7643"/>
    <w:rsid w:val="004E78F6"/>
    <w:rsid w:val="004F0970"/>
    <w:rsid w:val="004F0EB0"/>
    <w:rsid w:val="004F19E2"/>
    <w:rsid w:val="004F1B76"/>
    <w:rsid w:val="004F224A"/>
    <w:rsid w:val="004F24BD"/>
    <w:rsid w:val="004F308F"/>
    <w:rsid w:val="004F50A2"/>
    <w:rsid w:val="005016E9"/>
    <w:rsid w:val="00503616"/>
    <w:rsid w:val="00503F3B"/>
    <w:rsid w:val="00506042"/>
    <w:rsid w:val="00506473"/>
    <w:rsid w:val="00506E5F"/>
    <w:rsid w:val="00506FA8"/>
    <w:rsid w:val="0050768A"/>
    <w:rsid w:val="00510EE3"/>
    <w:rsid w:val="005116A2"/>
    <w:rsid w:val="0051200F"/>
    <w:rsid w:val="00514E93"/>
    <w:rsid w:val="00517047"/>
    <w:rsid w:val="00521501"/>
    <w:rsid w:val="00521B60"/>
    <w:rsid w:val="00522044"/>
    <w:rsid w:val="00522223"/>
    <w:rsid w:val="00522922"/>
    <w:rsid w:val="00522EF8"/>
    <w:rsid w:val="0052369A"/>
    <w:rsid w:val="005239E7"/>
    <w:rsid w:val="005246BF"/>
    <w:rsid w:val="0052557C"/>
    <w:rsid w:val="005258D6"/>
    <w:rsid w:val="00525978"/>
    <w:rsid w:val="00525DCA"/>
    <w:rsid w:val="00527FC8"/>
    <w:rsid w:val="0053045C"/>
    <w:rsid w:val="00531035"/>
    <w:rsid w:val="0053169F"/>
    <w:rsid w:val="0053286B"/>
    <w:rsid w:val="00533858"/>
    <w:rsid w:val="00533E1C"/>
    <w:rsid w:val="005363E1"/>
    <w:rsid w:val="0053640C"/>
    <w:rsid w:val="00536864"/>
    <w:rsid w:val="00536E81"/>
    <w:rsid w:val="00541FF0"/>
    <w:rsid w:val="005422FA"/>
    <w:rsid w:val="00542690"/>
    <w:rsid w:val="0054318E"/>
    <w:rsid w:val="0054336C"/>
    <w:rsid w:val="005433FA"/>
    <w:rsid w:val="005434AA"/>
    <w:rsid w:val="00543FFB"/>
    <w:rsid w:val="00545010"/>
    <w:rsid w:val="00545C1A"/>
    <w:rsid w:val="00546D69"/>
    <w:rsid w:val="00550AD4"/>
    <w:rsid w:val="00551274"/>
    <w:rsid w:val="00551D84"/>
    <w:rsid w:val="0055257B"/>
    <w:rsid w:val="00552B65"/>
    <w:rsid w:val="005536BA"/>
    <w:rsid w:val="00553C4A"/>
    <w:rsid w:val="00557DFA"/>
    <w:rsid w:val="00560B6B"/>
    <w:rsid w:val="00561102"/>
    <w:rsid w:val="005632AE"/>
    <w:rsid w:val="005638D4"/>
    <w:rsid w:val="00563D3E"/>
    <w:rsid w:val="00563F24"/>
    <w:rsid w:val="005640CD"/>
    <w:rsid w:val="00566021"/>
    <w:rsid w:val="0056609B"/>
    <w:rsid w:val="00566425"/>
    <w:rsid w:val="005666DE"/>
    <w:rsid w:val="005666E9"/>
    <w:rsid w:val="00566AC0"/>
    <w:rsid w:val="00567066"/>
    <w:rsid w:val="00567484"/>
    <w:rsid w:val="00567DB2"/>
    <w:rsid w:val="00567E16"/>
    <w:rsid w:val="00570BC3"/>
    <w:rsid w:val="00572CAA"/>
    <w:rsid w:val="0057388C"/>
    <w:rsid w:val="005744C5"/>
    <w:rsid w:val="005745DE"/>
    <w:rsid w:val="00574D25"/>
    <w:rsid w:val="00576805"/>
    <w:rsid w:val="005772B1"/>
    <w:rsid w:val="00577DFD"/>
    <w:rsid w:val="00580225"/>
    <w:rsid w:val="00580E0D"/>
    <w:rsid w:val="00580E16"/>
    <w:rsid w:val="005813C0"/>
    <w:rsid w:val="0058168C"/>
    <w:rsid w:val="00583178"/>
    <w:rsid w:val="00583FC7"/>
    <w:rsid w:val="00585933"/>
    <w:rsid w:val="00586AEA"/>
    <w:rsid w:val="00586FB7"/>
    <w:rsid w:val="00593FB5"/>
    <w:rsid w:val="00594701"/>
    <w:rsid w:val="005957B0"/>
    <w:rsid w:val="00595C7A"/>
    <w:rsid w:val="00595D08"/>
    <w:rsid w:val="005962BE"/>
    <w:rsid w:val="0059660D"/>
    <w:rsid w:val="005A227E"/>
    <w:rsid w:val="005A3561"/>
    <w:rsid w:val="005A3B3B"/>
    <w:rsid w:val="005A43DD"/>
    <w:rsid w:val="005A497F"/>
    <w:rsid w:val="005A4B55"/>
    <w:rsid w:val="005A60D7"/>
    <w:rsid w:val="005A613D"/>
    <w:rsid w:val="005A63DE"/>
    <w:rsid w:val="005A7795"/>
    <w:rsid w:val="005A78F4"/>
    <w:rsid w:val="005B0608"/>
    <w:rsid w:val="005B3701"/>
    <w:rsid w:val="005B4D58"/>
    <w:rsid w:val="005B63D7"/>
    <w:rsid w:val="005B6873"/>
    <w:rsid w:val="005B6DF6"/>
    <w:rsid w:val="005C0277"/>
    <w:rsid w:val="005D163F"/>
    <w:rsid w:val="005D52FA"/>
    <w:rsid w:val="005D57B0"/>
    <w:rsid w:val="005D7625"/>
    <w:rsid w:val="005E255C"/>
    <w:rsid w:val="005E2F53"/>
    <w:rsid w:val="005E3830"/>
    <w:rsid w:val="005E43C0"/>
    <w:rsid w:val="005E53FD"/>
    <w:rsid w:val="005E5560"/>
    <w:rsid w:val="005E787F"/>
    <w:rsid w:val="005F0763"/>
    <w:rsid w:val="005F08E3"/>
    <w:rsid w:val="005F1CB3"/>
    <w:rsid w:val="005F237E"/>
    <w:rsid w:val="005F258D"/>
    <w:rsid w:val="005F3318"/>
    <w:rsid w:val="005F426F"/>
    <w:rsid w:val="005F50B7"/>
    <w:rsid w:val="005F6A5E"/>
    <w:rsid w:val="005F77DD"/>
    <w:rsid w:val="006024B1"/>
    <w:rsid w:val="00606221"/>
    <w:rsid w:val="00606BBF"/>
    <w:rsid w:val="00606E62"/>
    <w:rsid w:val="00610124"/>
    <w:rsid w:val="00611CC3"/>
    <w:rsid w:val="00612F93"/>
    <w:rsid w:val="006179AF"/>
    <w:rsid w:val="00620213"/>
    <w:rsid w:val="00620579"/>
    <w:rsid w:val="00620945"/>
    <w:rsid w:val="0062104C"/>
    <w:rsid w:val="00621F9C"/>
    <w:rsid w:val="006229C0"/>
    <w:rsid w:val="00623BEB"/>
    <w:rsid w:val="006247D9"/>
    <w:rsid w:val="006248FD"/>
    <w:rsid w:val="00625677"/>
    <w:rsid w:val="00626C74"/>
    <w:rsid w:val="0062792C"/>
    <w:rsid w:val="00630647"/>
    <w:rsid w:val="00631191"/>
    <w:rsid w:val="0063136A"/>
    <w:rsid w:val="006404CB"/>
    <w:rsid w:val="00640B2A"/>
    <w:rsid w:val="00640BB1"/>
    <w:rsid w:val="00640FCD"/>
    <w:rsid w:val="0064134D"/>
    <w:rsid w:val="00642003"/>
    <w:rsid w:val="00642020"/>
    <w:rsid w:val="00642D26"/>
    <w:rsid w:val="00642FC2"/>
    <w:rsid w:val="006441CB"/>
    <w:rsid w:val="006461B9"/>
    <w:rsid w:val="00646430"/>
    <w:rsid w:val="006466A4"/>
    <w:rsid w:val="006473C7"/>
    <w:rsid w:val="0065042B"/>
    <w:rsid w:val="00650F2F"/>
    <w:rsid w:val="006527CD"/>
    <w:rsid w:val="006554FC"/>
    <w:rsid w:val="00660DD3"/>
    <w:rsid w:val="00660FBF"/>
    <w:rsid w:val="00662183"/>
    <w:rsid w:val="006628A3"/>
    <w:rsid w:val="00663065"/>
    <w:rsid w:val="00663956"/>
    <w:rsid w:val="00664C0A"/>
    <w:rsid w:val="00665582"/>
    <w:rsid w:val="006659DD"/>
    <w:rsid w:val="00666251"/>
    <w:rsid w:val="00666E8D"/>
    <w:rsid w:val="00667529"/>
    <w:rsid w:val="00670509"/>
    <w:rsid w:val="0067055D"/>
    <w:rsid w:val="00670E8C"/>
    <w:rsid w:val="00671E62"/>
    <w:rsid w:val="00673516"/>
    <w:rsid w:val="00674A17"/>
    <w:rsid w:val="006777D3"/>
    <w:rsid w:val="00677F72"/>
    <w:rsid w:val="00680B54"/>
    <w:rsid w:val="006811FA"/>
    <w:rsid w:val="00681946"/>
    <w:rsid w:val="006827AC"/>
    <w:rsid w:val="00682CE3"/>
    <w:rsid w:val="00682D43"/>
    <w:rsid w:val="00683E2A"/>
    <w:rsid w:val="00685A41"/>
    <w:rsid w:val="00685D43"/>
    <w:rsid w:val="006916C0"/>
    <w:rsid w:val="00691F51"/>
    <w:rsid w:val="00692C63"/>
    <w:rsid w:val="006932B5"/>
    <w:rsid w:val="006952F6"/>
    <w:rsid w:val="00695625"/>
    <w:rsid w:val="00695BC3"/>
    <w:rsid w:val="006972DE"/>
    <w:rsid w:val="006A0560"/>
    <w:rsid w:val="006A06FF"/>
    <w:rsid w:val="006A1DD8"/>
    <w:rsid w:val="006A2EC2"/>
    <w:rsid w:val="006A3363"/>
    <w:rsid w:val="006A4F04"/>
    <w:rsid w:val="006A5452"/>
    <w:rsid w:val="006A5AB3"/>
    <w:rsid w:val="006A5E9B"/>
    <w:rsid w:val="006A77A0"/>
    <w:rsid w:val="006B01FA"/>
    <w:rsid w:val="006B152E"/>
    <w:rsid w:val="006B3BE9"/>
    <w:rsid w:val="006B6A07"/>
    <w:rsid w:val="006B70E0"/>
    <w:rsid w:val="006B7C9F"/>
    <w:rsid w:val="006C0447"/>
    <w:rsid w:val="006C47D7"/>
    <w:rsid w:val="006C55F5"/>
    <w:rsid w:val="006C612F"/>
    <w:rsid w:val="006C6139"/>
    <w:rsid w:val="006D0D9D"/>
    <w:rsid w:val="006D1CD3"/>
    <w:rsid w:val="006D2AA4"/>
    <w:rsid w:val="006D5141"/>
    <w:rsid w:val="006D5A49"/>
    <w:rsid w:val="006D6ABD"/>
    <w:rsid w:val="006D6C3C"/>
    <w:rsid w:val="006D750F"/>
    <w:rsid w:val="006E38DD"/>
    <w:rsid w:val="006E3BA3"/>
    <w:rsid w:val="006E6C68"/>
    <w:rsid w:val="006F02C2"/>
    <w:rsid w:val="006F0AC7"/>
    <w:rsid w:val="006F17D9"/>
    <w:rsid w:val="006F2516"/>
    <w:rsid w:val="006F386C"/>
    <w:rsid w:val="006F420D"/>
    <w:rsid w:val="006F55C9"/>
    <w:rsid w:val="006F6D79"/>
    <w:rsid w:val="007002F1"/>
    <w:rsid w:val="00700DE6"/>
    <w:rsid w:val="00701C08"/>
    <w:rsid w:val="007020B0"/>
    <w:rsid w:val="0070353A"/>
    <w:rsid w:val="00703E5A"/>
    <w:rsid w:val="00705A48"/>
    <w:rsid w:val="007067B1"/>
    <w:rsid w:val="00706C7E"/>
    <w:rsid w:val="00706DCD"/>
    <w:rsid w:val="007100CD"/>
    <w:rsid w:val="0071026A"/>
    <w:rsid w:val="007115D9"/>
    <w:rsid w:val="00711FD5"/>
    <w:rsid w:val="007136A7"/>
    <w:rsid w:val="00715F63"/>
    <w:rsid w:val="00716621"/>
    <w:rsid w:val="007201EC"/>
    <w:rsid w:val="0072036C"/>
    <w:rsid w:val="007213EB"/>
    <w:rsid w:val="00721AAC"/>
    <w:rsid w:val="0072375C"/>
    <w:rsid w:val="00723AB1"/>
    <w:rsid w:val="00723FB3"/>
    <w:rsid w:val="00724AD1"/>
    <w:rsid w:val="00724C72"/>
    <w:rsid w:val="00724E29"/>
    <w:rsid w:val="00725737"/>
    <w:rsid w:val="00726194"/>
    <w:rsid w:val="00727878"/>
    <w:rsid w:val="007279F0"/>
    <w:rsid w:val="00727D8C"/>
    <w:rsid w:val="00727E9C"/>
    <w:rsid w:val="0073104A"/>
    <w:rsid w:val="00731EEA"/>
    <w:rsid w:val="00734560"/>
    <w:rsid w:val="00735AB8"/>
    <w:rsid w:val="00735BE8"/>
    <w:rsid w:val="00735D0A"/>
    <w:rsid w:val="007363AC"/>
    <w:rsid w:val="00737C9E"/>
    <w:rsid w:val="0074037C"/>
    <w:rsid w:val="00743041"/>
    <w:rsid w:val="007434EA"/>
    <w:rsid w:val="00745F4B"/>
    <w:rsid w:val="007472A8"/>
    <w:rsid w:val="00747B0C"/>
    <w:rsid w:val="00750D6C"/>
    <w:rsid w:val="00751D35"/>
    <w:rsid w:val="00752606"/>
    <w:rsid w:val="0075385B"/>
    <w:rsid w:val="00753EB5"/>
    <w:rsid w:val="0075404A"/>
    <w:rsid w:val="007542E6"/>
    <w:rsid w:val="00755F8B"/>
    <w:rsid w:val="00757F32"/>
    <w:rsid w:val="00760979"/>
    <w:rsid w:val="0076128F"/>
    <w:rsid w:val="00761574"/>
    <w:rsid w:val="007615FC"/>
    <w:rsid w:val="007633E8"/>
    <w:rsid w:val="00763979"/>
    <w:rsid w:val="00764058"/>
    <w:rsid w:val="00764201"/>
    <w:rsid w:val="0076461B"/>
    <w:rsid w:val="00764EE4"/>
    <w:rsid w:val="0076546D"/>
    <w:rsid w:val="00765D48"/>
    <w:rsid w:val="00766E2A"/>
    <w:rsid w:val="00767220"/>
    <w:rsid w:val="00771300"/>
    <w:rsid w:val="00771464"/>
    <w:rsid w:val="0077232A"/>
    <w:rsid w:val="007724A3"/>
    <w:rsid w:val="00780B5A"/>
    <w:rsid w:val="00780DD6"/>
    <w:rsid w:val="007812ED"/>
    <w:rsid w:val="007813D0"/>
    <w:rsid w:val="00782409"/>
    <w:rsid w:val="00782CD5"/>
    <w:rsid w:val="00784533"/>
    <w:rsid w:val="00784D0A"/>
    <w:rsid w:val="007851EE"/>
    <w:rsid w:val="00785D4B"/>
    <w:rsid w:val="007872E3"/>
    <w:rsid w:val="0079219A"/>
    <w:rsid w:val="00792C4F"/>
    <w:rsid w:val="00792F7D"/>
    <w:rsid w:val="00793CDA"/>
    <w:rsid w:val="00794EBB"/>
    <w:rsid w:val="00797B65"/>
    <w:rsid w:val="007A0736"/>
    <w:rsid w:val="007A117A"/>
    <w:rsid w:val="007A1834"/>
    <w:rsid w:val="007A1A85"/>
    <w:rsid w:val="007A201B"/>
    <w:rsid w:val="007A23F8"/>
    <w:rsid w:val="007A4907"/>
    <w:rsid w:val="007A4C4A"/>
    <w:rsid w:val="007A6326"/>
    <w:rsid w:val="007A6860"/>
    <w:rsid w:val="007A68A6"/>
    <w:rsid w:val="007B029F"/>
    <w:rsid w:val="007B0474"/>
    <w:rsid w:val="007B0CB4"/>
    <w:rsid w:val="007B122B"/>
    <w:rsid w:val="007B48AC"/>
    <w:rsid w:val="007B4B3B"/>
    <w:rsid w:val="007B511D"/>
    <w:rsid w:val="007B52E0"/>
    <w:rsid w:val="007B549F"/>
    <w:rsid w:val="007B6740"/>
    <w:rsid w:val="007B69F2"/>
    <w:rsid w:val="007C0B27"/>
    <w:rsid w:val="007C0C6E"/>
    <w:rsid w:val="007C15F3"/>
    <w:rsid w:val="007C1883"/>
    <w:rsid w:val="007C1A8C"/>
    <w:rsid w:val="007C1CBB"/>
    <w:rsid w:val="007C21C5"/>
    <w:rsid w:val="007C2388"/>
    <w:rsid w:val="007C23CB"/>
    <w:rsid w:val="007C4765"/>
    <w:rsid w:val="007C6708"/>
    <w:rsid w:val="007C67CF"/>
    <w:rsid w:val="007C7574"/>
    <w:rsid w:val="007C7977"/>
    <w:rsid w:val="007D00BC"/>
    <w:rsid w:val="007D37CB"/>
    <w:rsid w:val="007D3F0B"/>
    <w:rsid w:val="007D4A14"/>
    <w:rsid w:val="007D4C88"/>
    <w:rsid w:val="007D514A"/>
    <w:rsid w:val="007D571D"/>
    <w:rsid w:val="007D5E58"/>
    <w:rsid w:val="007D6FEC"/>
    <w:rsid w:val="007D7746"/>
    <w:rsid w:val="007E06B4"/>
    <w:rsid w:val="007E0B0F"/>
    <w:rsid w:val="007E146E"/>
    <w:rsid w:val="007E223D"/>
    <w:rsid w:val="007E2867"/>
    <w:rsid w:val="007E2FEB"/>
    <w:rsid w:val="007E3AEE"/>
    <w:rsid w:val="007E677E"/>
    <w:rsid w:val="007E72FE"/>
    <w:rsid w:val="007E7786"/>
    <w:rsid w:val="007E79DF"/>
    <w:rsid w:val="007F0BCB"/>
    <w:rsid w:val="007F0E0A"/>
    <w:rsid w:val="007F1E92"/>
    <w:rsid w:val="007F3064"/>
    <w:rsid w:val="007F3067"/>
    <w:rsid w:val="007F31B1"/>
    <w:rsid w:val="007F330B"/>
    <w:rsid w:val="007F3F4D"/>
    <w:rsid w:val="007F42E1"/>
    <w:rsid w:val="007F6AD4"/>
    <w:rsid w:val="00800085"/>
    <w:rsid w:val="00801463"/>
    <w:rsid w:val="00801852"/>
    <w:rsid w:val="00803184"/>
    <w:rsid w:val="008032A2"/>
    <w:rsid w:val="00804112"/>
    <w:rsid w:val="008042B6"/>
    <w:rsid w:val="008048A2"/>
    <w:rsid w:val="0080534C"/>
    <w:rsid w:val="00805EB6"/>
    <w:rsid w:val="00806E28"/>
    <w:rsid w:val="00807335"/>
    <w:rsid w:val="00807FED"/>
    <w:rsid w:val="00810035"/>
    <w:rsid w:val="00811B88"/>
    <w:rsid w:val="00812DAE"/>
    <w:rsid w:val="00813260"/>
    <w:rsid w:val="008138DB"/>
    <w:rsid w:val="00815D03"/>
    <w:rsid w:val="00816D6D"/>
    <w:rsid w:val="00817902"/>
    <w:rsid w:val="008200EC"/>
    <w:rsid w:val="00820328"/>
    <w:rsid w:val="0082044B"/>
    <w:rsid w:val="00820728"/>
    <w:rsid w:val="00821834"/>
    <w:rsid w:val="008223C1"/>
    <w:rsid w:val="00822966"/>
    <w:rsid w:val="008230C1"/>
    <w:rsid w:val="00823C8B"/>
    <w:rsid w:val="00824AC9"/>
    <w:rsid w:val="00824D87"/>
    <w:rsid w:val="00824FC8"/>
    <w:rsid w:val="00826601"/>
    <w:rsid w:val="0082769E"/>
    <w:rsid w:val="00827820"/>
    <w:rsid w:val="008305FA"/>
    <w:rsid w:val="0083124F"/>
    <w:rsid w:val="008342C4"/>
    <w:rsid w:val="00834D38"/>
    <w:rsid w:val="00835B18"/>
    <w:rsid w:val="0083638C"/>
    <w:rsid w:val="00840377"/>
    <w:rsid w:val="00840A9A"/>
    <w:rsid w:val="008421F2"/>
    <w:rsid w:val="008428A4"/>
    <w:rsid w:val="008439DB"/>
    <w:rsid w:val="00846156"/>
    <w:rsid w:val="008466EC"/>
    <w:rsid w:val="0084752E"/>
    <w:rsid w:val="00850362"/>
    <w:rsid w:val="00850442"/>
    <w:rsid w:val="00850D8E"/>
    <w:rsid w:val="00854D62"/>
    <w:rsid w:val="0086098C"/>
    <w:rsid w:val="00860F65"/>
    <w:rsid w:val="00861D83"/>
    <w:rsid w:val="008623BB"/>
    <w:rsid w:val="00862647"/>
    <w:rsid w:val="00862B0F"/>
    <w:rsid w:val="00862D39"/>
    <w:rsid w:val="008633FF"/>
    <w:rsid w:val="00864197"/>
    <w:rsid w:val="00864D41"/>
    <w:rsid w:val="00867067"/>
    <w:rsid w:val="0087295E"/>
    <w:rsid w:val="00872C86"/>
    <w:rsid w:val="00874A87"/>
    <w:rsid w:val="008803CC"/>
    <w:rsid w:val="008803F1"/>
    <w:rsid w:val="008805E5"/>
    <w:rsid w:val="008818D3"/>
    <w:rsid w:val="00881DA0"/>
    <w:rsid w:val="00882D6B"/>
    <w:rsid w:val="00882FF1"/>
    <w:rsid w:val="00883946"/>
    <w:rsid w:val="008847BA"/>
    <w:rsid w:val="00886F8C"/>
    <w:rsid w:val="008877DC"/>
    <w:rsid w:val="00887DDD"/>
    <w:rsid w:val="008905F8"/>
    <w:rsid w:val="00890C0B"/>
    <w:rsid w:val="00890EBE"/>
    <w:rsid w:val="00894B27"/>
    <w:rsid w:val="00894E29"/>
    <w:rsid w:val="0089603E"/>
    <w:rsid w:val="00896223"/>
    <w:rsid w:val="00896DDC"/>
    <w:rsid w:val="008A0705"/>
    <w:rsid w:val="008A1376"/>
    <w:rsid w:val="008A1CF9"/>
    <w:rsid w:val="008A237A"/>
    <w:rsid w:val="008A23BD"/>
    <w:rsid w:val="008A2648"/>
    <w:rsid w:val="008A2DF1"/>
    <w:rsid w:val="008A2F03"/>
    <w:rsid w:val="008A3A6F"/>
    <w:rsid w:val="008A4181"/>
    <w:rsid w:val="008A41DC"/>
    <w:rsid w:val="008A629F"/>
    <w:rsid w:val="008A739F"/>
    <w:rsid w:val="008A7A36"/>
    <w:rsid w:val="008B0107"/>
    <w:rsid w:val="008B186E"/>
    <w:rsid w:val="008B1F6C"/>
    <w:rsid w:val="008B3059"/>
    <w:rsid w:val="008B480B"/>
    <w:rsid w:val="008B7154"/>
    <w:rsid w:val="008B7C9C"/>
    <w:rsid w:val="008C10C3"/>
    <w:rsid w:val="008C1151"/>
    <w:rsid w:val="008C1C79"/>
    <w:rsid w:val="008C4941"/>
    <w:rsid w:val="008C5845"/>
    <w:rsid w:val="008C5B6B"/>
    <w:rsid w:val="008D1545"/>
    <w:rsid w:val="008D1A78"/>
    <w:rsid w:val="008D21BC"/>
    <w:rsid w:val="008D3329"/>
    <w:rsid w:val="008D421A"/>
    <w:rsid w:val="008D46B2"/>
    <w:rsid w:val="008D4807"/>
    <w:rsid w:val="008D5D85"/>
    <w:rsid w:val="008D6B19"/>
    <w:rsid w:val="008D762E"/>
    <w:rsid w:val="008E1932"/>
    <w:rsid w:val="008E39B1"/>
    <w:rsid w:val="008E4703"/>
    <w:rsid w:val="008E49DC"/>
    <w:rsid w:val="008E4CA6"/>
    <w:rsid w:val="008F0D89"/>
    <w:rsid w:val="008F2752"/>
    <w:rsid w:val="008F33FF"/>
    <w:rsid w:val="008F383A"/>
    <w:rsid w:val="008F395E"/>
    <w:rsid w:val="008F3B63"/>
    <w:rsid w:val="008F6A59"/>
    <w:rsid w:val="008F7691"/>
    <w:rsid w:val="008F7CA0"/>
    <w:rsid w:val="009002DF"/>
    <w:rsid w:val="00901B73"/>
    <w:rsid w:val="009023DD"/>
    <w:rsid w:val="009048EC"/>
    <w:rsid w:val="00904A64"/>
    <w:rsid w:val="00907E45"/>
    <w:rsid w:val="009118C5"/>
    <w:rsid w:val="00911C11"/>
    <w:rsid w:val="00911C48"/>
    <w:rsid w:val="00912443"/>
    <w:rsid w:val="0091283A"/>
    <w:rsid w:val="00912E76"/>
    <w:rsid w:val="0091332E"/>
    <w:rsid w:val="0091358A"/>
    <w:rsid w:val="00917814"/>
    <w:rsid w:val="00917887"/>
    <w:rsid w:val="00920067"/>
    <w:rsid w:val="0092115D"/>
    <w:rsid w:val="00921735"/>
    <w:rsid w:val="0092203D"/>
    <w:rsid w:val="00923390"/>
    <w:rsid w:val="00924F29"/>
    <w:rsid w:val="00925C52"/>
    <w:rsid w:val="00927992"/>
    <w:rsid w:val="009300E2"/>
    <w:rsid w:val="00930195"/>
    <w:rsid w:val="00930E8E"/>
    <w:rsid w:val="009319C2"/>
    <w:rsid w:val="00932B24"/>
    <w:rsid w:val="00932EFF"/>
    <w:rsid w:val="0093382E"/>
    <w:rsid w:val="00933C64"/>
    <w:rsid w:val="00934232"/>
    <w:rsid w:val="0093542D"/>
    <w:rsid w:val="00935CBD"/>
    <w:rsid w:val="00935CF7"/>
    <w:rsid w:val="00935EB4"/>
    <w:rsid w:val="00936A5D"/>
    <w:rsid w:val="00937511"/>
    <w:rsid w:val="009427B5"/>
    <w:rsid w:val="00942954"/>
    <w:rsid w:val="00943A7B"/>
    <w:rsid w:val="00944690"/>
    <w:rsid w:val="00945D68"/>
    <w:rsid w:val="0094709A"/>
    <w:rsid w:val="00947328"/>
    <w:rsid w:val="00947EBD"/>
    <w:rsid w:val="00950713"/>
    <w:rsid w:val="00950F72"/>
    <w:rsid w:val="009512EC"/>
    <w:rsid w:val="00951A91"/>
    <w:rsid w:val="00953F21"/>
    <w:rsid w:val="009551EE"/>
    <w:rsid w:val="00955D0F"/>
    <w:rsid w:val="00957C63"/>
    <w:rsid w:val="009605C0"/>
    <w:rsid w:val="00962BCC"/>
    <w:rsid w:val="0096341D"/>
    <w:rsid w:val="009644FB"/>
    <w:rsid w:val="0096515C"/>
    <w:rsid w:val="00966EBA"/>
    <w:rsid w:val="009671A2"/>
    <w:rsid w:val="009677F2"/>
    <w:rsid w:val="00967E68"/>
    <w:rsid w:val="00971E5B"/>
    <w:rsid w:val="009732B2"/>
    <w:rsid w:val="0097544F"/>
    <w:rsid w:val="00976CDC"/>
    <w:rsid w:val="00977CD8"/>
    <w:rsid w:val="00980130"/>
    <w:rsid w:val="0098073B"/>
    <w:rsid w:val="00980C8D"/>
    <w:rsid w:val="00981CB4"/>
    <w:rsid w:val="0098267C"/>
    <w:rsid w:val="00983111"/>
    <w:rsid w:val="00983365"/>
    <w:rsid w:val="009845EF"/>
    <w:rsid w:val="009859B2"/>
    <w:rsid w:val="00986202"/>
    <w:rsid w:val="00986731"/>
    <w:rsid w:val="00986DAB"/>
    <w:rsid w:val="0098748A"/>
    <w:rsid w:val="0099007D"/>
    <w:rsid w:val="009901F3"/>
    <w:rsid w:val="00990E7C"/>
    <w:rsid w:val="00990EC7"/>
    <w:rsid w:val="00991073"/>
    <w:rsid w:val="00992737"/>
    <w:rsid w:val="009928FC"/>
    <w:rsid w:val="009947E4"/>
    <w:rsid w:val="00994D26"/>
    <w:rsid w:val="0099600E"/>
    <w:rsid w:val="00996D06"/>
    <w:rsid w:val="00997765"/>
    <w:rsid w:val="009A01FC"/>
    <w:rsid w:val="009A03AE"/>
    <w:rsid w:val="009A099F"/>
    <w:rsid w:val="009A254A"/>
    <w:rsid w:val="009A28BF"/>
    <w:rsid w:val="009A2C55"/>
    <w:rsid w:val="009A32D1"/>
    <w:rsid w:val="009A36E4"/>
    <w:rsid w:val="009A39D1"/>
    <w:rsid w:val="009A6E22"/>
    <w:rsid w:val="009A754A"/>
    <w:rsid w:val="009A7608"/>
    <w:rsid w:val="009B079A"/>
    <w:rsid w:val="009B0D78"/>
    <w:rsid w:val="009B0FA9"/>
    <w:rsid w:val="009B21A1"/>
    <w:rsid w:val="009B3E7E"/>
    <w:rsid w:val="009B41C7"/>
    <w:rsid w:val="009B4B07"/>
    <w:rsid w:val="009B56ED"/>
    <w:rsid w:val="009B5E8E"/>
    <w:rsid w:val="009B639E"/>
    <w:rsid w:val="009B6555"/>
    <w:rsid w:val="009C0440"/>
    <w:rsid w:val="009C15FD"/>
    <w:rsid w:val="009C3421"/>
    <w:rsid w:val="009C3A22"/>
    <w:rsid w:val="009C4074"/>
    <w:rsid w:val="009C60C9"/>
    <w:rsid w:val="009C7F74"/>
    <w:rsid w:val="009C7F99"/>
    <w:rsid w:val="009D09ED"/>
    <w:rsid w:val="009D1E30"/>
    <w:rsid w:val="009D1FE0"/>
    <w:rsid w:val="009D2260"/>
    <w:rsid w:val="009D2403"/>
    <w:rsid w:val="009D2D0C"/>
    <w:rsid w:val="009D403A"/>
    <w:rsid w:val="009D5853"/>
    <w:rsid w:val="009D7F2C"/>
    <w:rsid w:val="009E08BD"/>
    <w:rsid w:val="009E0C54"/>
    <w:rsid w:val="009E24DE"/>
    <w:rsid w:val="009E2C78"/>
    <w:rsid w:val="009E3087"/>
    <w:rsid w:val="009E39B2"/>
    <w:rsid w:val="009E3D9F"/>
    <w:rsid w:val="009E523E"/>
    <w:rsid w:val="009E5AE4"/>
    <w:rsid w:val="009E7BD6"/>
    <w:rsid w:val="009E7E38"/>
    <w:rsid w:val="009F0738"/>
    <w:rsid w:val="009F0D1D"/>
    <w:rsid w:val="009F1249"/>
    <w:rsid w:val="009F2D3D"/>
    <w:rsid w:val="009F2EFB"/>
    <w:rsid w:val="009F374B"/>
    <w:rsid w:val="009F6184"/>
    <w:rsid w:val="009F7957"/>
    <w:rsid w:val="00A008C2"/>
    <w:rsid w:val="00A009FE"/>
    <w:rsid w:val="00A01A4B"/>
    <w:rsid w:val="00A023E3"/>
    <w:rsid w:val="00A02FC3"/>
    <w:rsid w:val="00A039A5"/>
    <w:rsid w:val="00A04452"/>
    <w:rsid w:val="00A04E90"/>
    <w:rsid w:val="00A04F7E"/>
    <w:rsid w:val="00A05277"/>
    <w:rsid w:val="00A07738"/>
    <w:rsid w:val="00A077AA"/>
    <w:rsid w:val="00A118E1"/>
    <w:rsid w:val="00A11F26"/>
    <w:rsid w:val="00A14D98"/>
    <w:rsid w:val="00A15267"/>
    <w:rsid w:val="00A1636A"/>
    <w:rsid w:val="00A1643B"/>
    <w:rsid w:val="00A16FEC"/>
    <w:rsid w:val="00A23119"/>
    <w:rsid w:val="00A242F2"/>
    <w:rsid w:val="00A2747F"/>
    <w:rsid w:val="00A33D68"/>
    <w:rsid w:val="00A34C88"/>
    <w:rsid w:val="00A34E5D"/>
    <w:rsid w:val="00A353DA"/>
    <w:rsid w:val="00A35D44"/>
    <w:rsid w:val="00A35F69"/>
    <w:rsid w:val="00A37529"/>
    <w:rsid w:val="00A37D9F"/>
    <w:rsid w:val="00A40D41"/>
    <w:rsid w:val="00A40F38"/>
    <w:rsid w:val="00A410E0"/>
    <w:rsid w:val="00A41D5E"/>
    <w:rsid w:val="00A41EA6"/>
    <w:rsid w:val="00A45335"/>
    <w:rsid w:val="00A4551C"/>
    <w:rsid w:val="00A45B88"/>
    <w:rsid w:val="00A46523"/>
    <w:rsid w:val="00A46977"/>
    <w:rsid w:val="00A472E6"/>
    <w:rsid w:val="00A47568"/>
    <w:rsid w:val="00A47CEF"/>
    <w:rsid w:val="00A5057C"/>
    <w:rsid w:val="00A54780"/>
    <w:rsid w:val="00A550B4"/>
    <w:rsid w:val="00A5561A"/>
    <w:rsid w:val="00A55861"/>
    <w:rsid w:val="00A55B5C"/>
    <w:rsid w:val="00A55C47"/>
    <w:rsid w:val="00A56ECA"/>
    <w:rsid w:val="00A57462"/>
    <w:rsid w:val="00A60B1C"/>
    <w:rsid w:val="00A61C3C"/>
    <w:rsid w:val="00A62297"/>
    <w:rsid w:val="00A6258F"/>
    <w:rsid w:val="00A626A7"/>
    <w:rsid w:val="00A6272B"/>
    <w:rsid w:val="00A62E15"/>
    <w:rsid w:val="00A65100"/>
    <w:rsid w:val="00A652BB"/>
    <w:rsid w:val="00A65B4E"/>
    <w:rsid w:val="00A65DF5"/>
    <w:rsid w:val="00A665B5"/>
    <w:rsid w:val="00A66B31"/>
    <w:rsid w:val="00A67948"/>
    <w:rsid w:val="00A71205"/>
    <w:rsid w:val="00A71917"/>
    <w:rsid w:val="00A722AA"/>
    <w:rsid w:val="00A75F74"/>
    <w:rsid w:val="00A761BF"/>
    <w:rsid w:val="00A76368"/>
    <w:rsid w:val="00A77CC4"/>
    <w:rsid w:val="00A803C8"/>
    <w:rsid w:val="00A82BAB"/>
    <w:rsid w:val="00A8329C"/>
    <w:rsid w:val="00A833A4"/>
    <w:rsid w:val="00A833DC"/>
    <w:rsid w:val="00A83AF4"/>
    <w:rsid w:val="00A8428E"/>
    <w:rsid w:val="00A8456E"/>
    <w:rsid w:val="00A85478"/>
    <w:rsid w:val="00A873EE"/>
    <w:rsid w:val="00A910F5"/>
    <w:rsid w:val="00A935AD"/>
    <w:rsid w:val="00A9430A"/>
    <w:rsid w:val="00A9566C"/>
    <w:rsid w:val="00A96060"/>
    <w:rsid w:val="00A97EF8"/>
    <w:rsid w:val="00AA0C3A"/>
    <w:rsid w:val="00AA164B"/>
    <w:rsid w:val="00AA1FC5"/>
    <w:rsid w:val="00AA2D10"/>
    <w:rsid w:val="00AA369D"/>
    <w:rsid w:val="00AA3C06"/>
    <w:rsid w:val="00AA4E1C"/>
    <w:rsid w:val="00AA5593"/>
    <w:rsid w:val="00AA567C"/>
    <w:rsid w:val="00AA5D72"/>
    <w:rsid w:val="00AA6032"/>
    <w:rsid w:val="00AB18D3"/>
    <w:rsid w:val="00AB39A0"/>
    <w:rsid w:val="00AB3A0B"/>
    <w:rsid w:val="00AB3FDB"/>
    <w:rsid w:val="00AB4039"/>
    <w:rsid w:val="00AB4657"/>
    <w:rsid w:val="00AB6A40"/>
    <w:rsid w:val="00AC0D22"/>
    <w:rsid w:val="00AC1073"/>
    <w:rsid w:val="00AC145B"/>
    <w:rsid w:val="00AC15B8"/>
    <w:rsid w:val="00AC17C1"/>
    <w:rsid w:val="00AC34A1"/>
    <w:rsid w:val="00AC6909"/>
    <w:rsid w:val="00AD32F9"/>
    <w:rsid w:val="00AD3C69"/>
    <w:rsid w:val="00AD3EA5"/>
    <w:rsid w:val="00AD4134"/>
    <w:rsid w:val="00AD4A09"/>
    <w:rsid w:val="00AD5DC6"/>
    <w:rsid w:val="00AD66A0"/>
    <w:rsid w:val="00AE25D8"/>
    <w:rsid w:val="00AE2885"/>
    <w:rsid w:val="00AE4223"/>
    <w:rsid w:val="00AE72CF"/>
    <w:rsid w:val="00AE752C"/>
    <w:rsid w:val="00AF00D9"/>
    <w:rsid w:val="00AF0177"/>
    <w:rsid w:val="00AF0C45"/>
    <w:rsid w:val="00AF23A2"/>
    <w:rsid w:val="00AF3734"/>
    <w:rsid w:val="00AF4323"/>
    <w:rsid w:val="00AF46BF"/>
    <w:rsid w:val="00AF6238"/>
    <w:rsid w:val="00AF7AB3"/>
    <w:rsid w:val="00B01048"/>
    <w:rsid w:val="00B023B4"/>
    <w:rsid w:val="00B02633"/>
    <w:rsid w:val="00B03273"/>
    <w:rsid w:val="00B04379"/>
    <w:rsid w:val="00B0498A"/>
    <w:rsid w:val="00B053D4"/>
    <w:rsid w:val="00B068C6"/>
    <w:rsid w:val="00B07A3D"/>
    <w:rsid w:val="00B1197D"/>
    <w:rsid w:val="00B11AE7"/>
    <w:rsid w:val="00B128E3"/>
    <w:rsid w:val="00B13139"/>
    <w:rsid w:val="00B138C2"/>
    <w:rsid w:val="00B13E3A"/>
    <w:rsid w:val="00B16237"/>
    <w:rsid w:val="00B16D64"/>
    <w:rsid w:val="00B1796F"/>
    <w:rsid w:val="00B22523"/>
    <w:rsid w:val="00B233FD"/>
    <w:rsid w:val="00B23EA5"/>
    <w:rsid w:val="00B24EDD"/>
    <w:rsid w:val="00B250D2"/>
    <w:rsid w:val="00B251F4"/>
    <w:rsid w:val="00B2575D"/>
    <w:rsid w:val="00B26809"/>
    <w:rsid w:val="00B27984"/>
    <w:rsid w:val="00B3013D"/>
    <w:rsid w:val="00B30650"/>
    <w:rsid w:val="00B32B93"/>
    <w:rsid w:val="00B32CC6"/>
    <w:rsid w:val="00B32EBE"/>
    <w:rsid w:val="00B334CB"/>
    <w:rsid w:val="00B33FE6"/>
    <w:rsid w:val="00B3657B"/>
    <w:rsid w:val="00B36B1D"/>
    <w:rsid w:val="00B36C49"/>
    <w:rsid w:val="00B37188"/>
    <w:rsid w:val="00B37977"/>
    <w:rsid w:val="00B37B98"/>
    <w:rsid w:val="00B40195"/>
    <w:rsid w:val="00B42C0B"/>
    <w:rsid w:val="00B42E3F"/>
    <w:rsid w:val="00B445D1"/>
    <w:rsid w:val="00B44F24"/>
    <w:rsid w:val="00B45BA1"/>
    <w:rsid w:val="00B45DCC"/>
    <w:rsid w:val="00B46276"/>
    <w:rsid w:val="00B46FEB"/>
    <w:rsid w:val="00B4732D"/>
    <w:rsid w:val="00B47C3F"/>
    <w:rsid w:val="00B500F7"/>
    <w:rsid w:val="00B50348"/>
    <w:rsid w:val="00B50C1D"/>
    <w:rsid w:val="00B52209"/>
    <w:rsid w:val="00B52665"/>
    <w:rsid w:val="00B54E49"/>
    <w:rsid w:val="00B56AF6"/>
    <w:rsid w:val="00B57445"/>
    <w:rsid w:val="00B576EA"/>
    <w:rsid w:val="00B57BC6"/>
    <w:rsid w:val="00B614E6"/>
    <w:rsid w:val="00B6285B"/>
    <w:rsid w:val="00B62D4D"/>
    <w:rsid w:val="00B63052"/>
    <w:rsid w:val="00B6308A"/>
    <w:rsid w:val="00B63DB3"/>
    <w:rsid w:val="00B663B3"/>
    <w:rsid w:val="00B6696D"/>
    <w:rsid w:val="00B66E46"/>
    <w:rsid w:val="00B66FC8"/>
    <w:rsid w:val="00B6772D"/>
    <w:rsid w:val="00B703F3"/>
    <w:rsid w:val="00B7202F"/>
    <w:rsid w:val="00B750DF"/>
    <w:rsid w:val="00B75611"/>
    <w:rsid w:val="00B75AFE"/>
    <w:rsid w:val="00B75FE7"/>
    <w:rsid w:val="00B76C84"/>
    <w:rsid w:val="00B77691"/>
    <w:rsid w:val="00B77EE5"/>
    <w:rsid w:val="00B816AD"/>
    <w:rsid w:val="00B818AD"/>
    <w:rsid w:val="00B84A54"/>
    <w:rsid w:val="00B85B9D"/>
    <w:rsid w:val="00B85CE8"/>
    <w:rsid w:val="00B85DB5"/>
    <w:rsid w:val="00B863ED"/>
    <w:rsid w:val="00B86853"/>
    <w:rsid w:val="00B86BF4"/>
    <w:rsid w:val="00B86CC5"/>
    <w:rsid w:val="00B8760E"/>
    <w:rsid w:val="00B92032"/>
    <w:rsid w:val="00B93368"/>
    <w:rsid w:val="00B93B60"/>
    <w:rsid w:val="00B9454C"/>
    <w:rsid w:val="00B95E1B"/>
    <w:rsid w:val="00B95E9D"/>
    <w:rsid w:val="00B96082"/>
    <w:rsid w:val="00B965FC"/>
    <w:rsid w:val="00B96C10"/>
    <w:rsid w:val="00BA2167"/>
    <w:rsid w:val="00BA25A9"/>
    <w:rsid w:val="00BA4185"/>
    <w:rsid w:val="00BA56A0"/>
    <w:rsid w:val="00BA5EBB"/>
    <w:rsid w:val="00BA6C59"/>
    <w:rsid w:val="00BA7260"/>
    <w:rsid w:val="00BB2482"/>
    <w:rsid w:val="00BB2531"/>
    <w:rsid w:val="00BB2CD9"/>
    <w:rsid w:val="00BB6934"/>
    <w:rsid w:val="00BB76F9"/>
    <w:rsid w:val="00BB7BBB"/>
    <w:rsid w:val="00BB7C9B"/>
    <w:rsid w:val="00BB7D87"/>
    <w:rsid w:val="00BC094F"/>
    <w:rsid w:val="00BC0FCB"/>
    <w:rsid w:val="00BC119D"/>
    <w:rsid w:val="00BC285A"/>
    <w:rsid w:val="00BC3023"/>
    <w:rsid w:val="00BC3311"/>
    <w:rsid w:val="00BC3F2B"/>
    <w:rsid w:val="00BC5126"/>
    <w:rsid w:val="00BC571D"/>
    <w:rsid w:val="00BC6AD6"/>
    <w:rsid w:val="00BC6E4C"/>
    <w:rsid w:val="00BD0543"/>
    <w:rsid w:val="00BD0E55"/>
    <w:rsid w:val="00BD24DD"/>
    <w:rsid w:val="00BD5F71"/>
    <w:rsid w:val="00BD7B1D"/>
    <w:rsid w:val="00BE02A0"/>
    <w:rsid w:val="00BE166D"/>
    <w:rsid w:val="00BE2FFC"/>
    <w:rsid w:val="00BE30BD"/>
    <w:rsid w:val="00BE6DAC"/>
    <w:rsid w:val="00BE75CE"/>
    <w:rsid w:val="00BF0218"/>
    <w:rsid w:val="00BF0E96"/>
    <w:rsid w:val="00BF1116"/>
    <w:rsid w:val="00BF18F1"/>
    <w:rsid w:val="00BF2914"/>
    <w:rsid w:val="00BF569F"/>
    <w:rsid w:val="00BF63AE"/>
    <w:rsid w:val="00BF6DF2"/>
    <w:rsid w:val="00BF6FBF"/>
    <w:rsid w:val="00BF736E"/>
    <w:rsid w:val="00C011E8"/>
    <w:rsid w:val="00C022DE"/>
    <w:rsid w:val="00C02596"/>
    <w:rsid w:val="00C0398E"/>
    <w:rsid w:val="00C03B22"/>
    <w:rsid w:val="00C05C55"/>
    <w:rsid w:val="00C06A1D"/>
    <w:rsid w:val="00C06BBD"/>
    <w:rsid w:val="00C07415"/>
    <w:rsid w:val="00C075DE"/>
    <w:rsid w:val="00C11CB8"/>
    <w:rsid w:val="00C12FFB"/>
    <w:rsid w:val="00C14CA4"/>
    <w:rsid w:val="00C14D77"/>
    <w:rsid w:val="00C155BF"/>
    <w:rsid w:val="00C1567B"/>
    <w:rsid w:val="00C16222"/>
    <w:rsid w:val="00C17A77"/>
    <w:rsid w:val="00C21008"/>
    <w:rsid w:val="00C21DD3"/>
    <w:rsid w:val="00C23125"/>
    <w:rsid w:val="00C2372E"/>
    <w:rsid w:val="00C23BCD"/>
    <w:rsid w:val="00C2424F"/>
    <w:rsid w:val="00C25181"/>
    <w:rsid w:val="00C27489"/>
    <w:rsid w:val="00C306C5"/>
    <w:rsid w:val="00C30DAD"/>
    <w:rsid w:val="00C31669"/>
    <w:rsid w:val="00C31F79"/>
    <w:rsid w:val="00C3201E"/>
    <w:rsid w:val="00C3272D"/>
    <w:rsid w:val="00C33B5F"/>
    <w:rsid w:val="00C357C9"/>
    <w:rsid w:val="00C3748D"/>
    <w:rsid w:val="00C37A76"/>
    <w:rsid w:val="00C37BC4"/>
    <w:rsid w:val="00C40FFF"/>
    <w:rsid w:val="00C41F8C"/>
    <w:rsid w:val="00C42D7F"/>
    <w:rsid w:val="00C434BC"/>
    <w:rsid w:val="00C4352B"/>
    <w:rsid w:val="00C44AA0"/>
    <w:rsid w:val="00C45873"/>
    <w:rsid w:val="00C458F3"/>
    <w:rsid w:val="00C45D98"/>
    <w:rsid w:val="00C471E4"/>
    <w:rsid w:val="00C47580"/>
    <w:rsid w:val="00C478DE"/>
    <w:rsid w:val="00C53113"/>
    <w:rsid w:val="00C54115"/>
    <w:rsid w:val="00C55D74"/>
    <w:rsid w:val="00C562D4"/>
    <w:rsid w:val="00C60079"/>
    <w:rsid w:val="00C652B4"/>
    <w:rsid w:val="00C65B00"/>
    <w:rsid w:val="00C678FE"/>
    <w:rsid w:val="00C71246"/>
    <w:rsid w:val="00C71636"/>
    <w:rsid w:val="00C7219E"/>
    <w:rsid w:val="00C733AB"/>
    <w:rsid w:val="00C76785"/>
    <w:rsid w:val="00C770A7"/>
    <w:rsid w:val="00C77C04"/>
    <w:rsid w:val="00C804C4"/>
    <w:rsid w:val="00C848E7"/>
    <w:rsid w:val="00C85FD6"/>
    <w:rsid w:val="00C86753"/>
    <w:rsid w:val="00C87A70"/>
    <w:rsid w:val="00C90140"/>
    <w:rsid w:val="00C91274"/>
    <w:rsid w:val="00C918BE"/>
    <w:rsid w:val="00C92209"/>
    <w:rsid w:val="00C93D49"/>
    <w:rsid w:val="00C942C8"/>
    <w:rsid w:val="00C94307"/>
    <w:rsid w:val="00C96415"/>
    <w:rsid w:val="00C97294"/>
    <w:rsid w:val="00C97F71"/>
    <w:rsid w:val="00CA1170"/>
    <w:rsid w:val="00CA2814"/>
    <w:rsid w:val="00CA3E25"/>
    <w:rsid w:val="00CA4198"/>
    <w:rsid w:val="00CA57A7"/>
    <w:rsid w:val="00CB26C2"/>
    <w:rsid w:val="00CB38DF"/>
    <w:rsid w:val="00CB5637"/>
    <w:rsid w:val="00CB61BA"/>
    <w:rsid w:val="00CB7A77"/>
    <w:rsid w:val="00CC2000"/>
    <w:rsid w:val="00CC24BF"/>
    <w:rsid w:val="00CC26FD"/>
    <w:rsid w:val="00CC27CF"/>
    <w:rsid w:val="00CC29EA"/>
    <w:rsid w:val="00CC3510"/>
    <w:rsid w:val="00CD0CE1"/>
    <w:rsid w:val="00CD185C"/>
    <w:rsid w:val="00CD20E4"/>
    <w:rsid w:val="00CD2B58"/>
    <w:rsid w:val="00CD3051"/>
    <w:rsid w:val="00CD40B4"/>
    <w:rsid w:val="00CD4C65"/>
    <w:rsid w:val="00CD570E"/>
    <w:rsid w:val="00CD5B3E"/>
    <w:rsid w:val="00CD6882"/>
    <w:rsid w:val="00CD7470"/>
    <w:rsid w:val="00CD762D"/>
    <w:rsid w:val="00CE024D"/>
    <w:rsid w:val="00CE09BB"/>
    <w:rsid w:val="00CE1194"/>
    <w:rsid w:val="00CE21DC"/>
    <w:rsid w:val="00CE343B"/>
    <w:rsid w:val="00CE41AF"/>
    <w:rsid w:val="00CE4A0D"/>
    <w:rsid w:val="00CE54EA"/>
    <w:rsid w:val="00CE6972"/>
    <w:rsid w:val="00CF03C3"/>
    <w:rsid w:val="00CF2E6D"/>
    <w:rsid w:val="00CF4897"/>
    <w:rsid w:val="00CF5550"/>
    <w:rsid w:val="00CF55F0"/>
    <w:rsid w:val="00CF5872"/>
    <w:rsid w:val="00D00FA7"/>
    <w:rsid w:val="00D014D0"/>
    <w:rsid w:val="00D01710"/>
    <w:rsid w:val="00D10167"/>
    <w:rsid w:val="00D12EB4"/>
    <w:rsid w:val="00D12FC5"/>
    <w:rsid w:val="00D14643"/>
    <w:rsid w:val="00D20DE2"/>
    <w:rsid w:val="00D21B5A"/>
    <w:rsid w:val="00D227D6"/>
    <w:rsid w:val="00D22E2B"/>
    <w:rsid w:val="00D23308"/>
    <w:rsid w:val="00D2443A"/>
    <w:rsid w:val="00D256F5"/>
    <w:rsid w:val="00D2592A"/>
    <w:rsid w:val="00D26D07"/>
    <w:rsid w:val="00D27D24"/>
    <w:rsid w:val="00D30074"/>
    <w:rsid w:val="00D302C0"/>
    <w:rsid w:val="00D32137"/>
    <w:rsid w:val="00D33890"/>
    <w:rsid w:val="00D34542"/>
    <w:rsid w:val="00D3558D"/>
    <w:rsid w:val="00D360F1"/>
    <w:rsid w:val="00D36270"/>
    <w:rsid w:val="00D366C9"/>
    <w:rsid w:val="00D36BD3"/>
    <w:rsid w:val="00D44D2D"/>
    <w:rsid w:val="00D505DC"/>
    <w:rsid w:val="00D50DF8"/>
    <w:rsid w:val="00D53AED"/>
    <w:rsid w:val="00D548E6"/>
    <w:rsid w:val="00D54959"/>
    <w:rsid w:val="00D54FB9"/>
    <w:rsid w:val="00D5677C"/>
    <w:rsid w:val="00D57396"/>
    <w:rsid w:val="00D57B2D"/>
    <w:rsid w:val="00D60ED8"/>
    <w:rsid w:val="00D6179F"/>
    <w:rsid w:val="00D62646"/>
    <w:rsid w:val="00D638A3"/>
    <w:rsid w:val="00D64EFC"/>
    <w:rsid w:val="00D66045"/>
    <w:rsid w:val="00D66569"/>
    <w:rsid w:val="00D66E2D"/>
    <w:rsid w:val="00D67225"/>
    <w:rsid w:val="00D67BFE"/>
    <w:rsid w:val="00D703E2"/>
    <w:rsid w:val="00D70471"/>
    <w:rsid w:val="00D705BF"/>
    <w:rsid w:val="00D707D8"/>
    <w:rsid w:val="00D70923"/>
    <w:rsid w:val="00D7234F"/>
    <w:rsid w:val="00D73759"/>
    <w:rsid w:val="00D73CB2"/>
    <w:rsid w:val="00D73DE8"/>
    <w:rsid w:val="00D8367B"/>
    <w:rsid w:val="00D83743"/>
    <w:rsid w:val="00D83A95"/>
    <w:rsid w:val="00D83AFE"/>
    <w:rsid w:val="00D846B8"/>
    <w:rsid w:val="00D84928"/>
    <w:rsid w:val="00D86D6B"/>
    <w:rsid w:val="00D906AA"/>
    <w:rsid w:val="00D9116B"/>
    <w:rsid w:val="00D913F8"/>
    <w:rsid w:val="00D9297C"/>
    <w:rsid w:val="00D92EF1"/>
    <w:rsid w:val="00D9327C"/>
    <w:rsid w:val="00D94CCC"/>
    <w:rsid w:val="00D952BB"/>
    <w:rsid w:val="00D957B1"/>
    <w:rsid w:val="00D966AC"/>
    <w:rsid w:val="00D968F3"/>
    <w:rsid w:val="00D971D0"/>
    <w:rsid w:val="00DA063A"/>
    <w:rsid w:val="00DA1F31"/>
    <w:rsid w:val="00DA1F58"/>
    <w:rsid w:val="00DA236F"/>
    <w:rsid w:val="00DA25A4"/>
    <w:rsid w:val="00DA3E77"/>
    <w:rsid w:val="00DA4730"/>
    <w:rsid w:val="00DA4DD7"/>
    <w:rsid w:val="00DA631D"/>
    <w:rsid w:val="00DA6540"/>
    <w:rsid w:val="00DA6DD4"/>
    <w:rsid w:val="00DA7679"/>
    <w:rsid w:val="00DA78F5"/>
    <w:rsid w:val="00DB01A6"/>
    <w:rsid w:val="00DB02BE"/>
    <w:rsid w:val="00DB1502"/>
    <w:rsid w:val="00DB15BA"/>
    <w:rsid w:val="00DB1C80"/>
    <w:rsid w:val="00DB3DE9"/>
    <w:rsid w:val="00DB546D"/>
    <w:rsid w:val="00DB58DE"/>
    <w:rsid w:val="00DB6DBB"/>
    <w:rsid w:val="00DC056A"/>
    <w:rsid w:val="00DC2CD1"/>
    <w:rsid w:val="00DC421D"/>
    <w:rsid w:val="00DC424C"/>
    <w:rsid w:val="00DC4DA8"/>
    <w:rsid w:val="00DC50F5"/>
    <w:rsid w:val="00DC552E"/>
    <w:rsid w:val="00DC65EB"/>
    <w:rsid w:val="00DC7062"/>
    <w:rsid w:val="00DC7F87"/>
    <w:rsid w:val="00DD140F"/>
    <w:rsid w:val="00DD17D3"/>
    <w:rsid w:val="00DD1BA6"/>
    <w:rsid w:val="00DD289B"/>
    <w:rsid w:val="00DD445B"/>
    <w:rsid w:val="00DD49E9"/>
    <w:rsid w:val="00DD5772"/>
    <w:rsid w:val="00DD7DBD"/>
    <w:rsid w:val="00DF0F49"/>
    <w:rsid w:val="00DF1901"/>
    <w:rsid w:val="00DF1C64"/>
    <w:rsid w:val="00DF235E"/>
    <w:rsid w:val="00DF4BF3"/>
    <w:rsid w:val="00DF4C3C"/>
    <w:rsid w:val="00DF66C7"/>
    <w:rsid w:val="00DF69B0"/>
    <w:rsid w:val="00E02D80"/>
    <w:rsid w:val="00E02F92"/>
    <w:rsid w:val="00E03458"/>
    <w:rsid w:val="00E040B8"/>
    <w:rsid w:val="00E04605"/>
    <w:rsid w:val="00E05C8A"/>
    <w:rsid w:val="00E05F10"/>
    <w:rsid w:val="00E060E4"/>
    <w:rsid w:val="00E064C3"/>
    <w:rsid w:val="00E06CA8"/>
    <w:rsid w:val="00E1015C"/>
    <w:rsid w:val="00E10D01"/>
    <w:rsid w:val="00E10D27"/>
    <w:rsid w:val="00E11F5D"/>
    <w:rsid w:val="00E1295E"/>
    <w:rsid w:val="00E12CBC"/>
    <w:rsid w:val="00E1382B"/>
    <w:rsid w:val="00E14F79"/>
    <w:rsid w:val="00E15217"/>
    <w:rsid w:val="00E15E7B"/>
    <w:rsid w:val="00E164F0"/>
    <w:rsid w:val="00E16C73"/>
    <w:rsid w:val="00E17228"/>
    <w:rsid w:val="00E2009F"/>
    <w:rsid w:val="00E21C3E"/>
    <w:rsid w:val="00E21EDF"/>
    <w:rsid w:val="00E22635"/>
    <w:rsid w:val="00E22F7D"/>
    <w:rsid w:val="00E238AD"/>
    <w:rsid w:val="00E25275"/>
    <w:rsid w:val="00E31356"/>
    <w:rsid w:val="00E316A1"/>
    <w:rsid w:val="00E31DBB"/>
    <w:rsid w:val="00E31DC3"/>
    <w:rsid w:val="00E3281D"/>
    <w:rsid w:val="00E35DDC"/>
    <w:rsid w:val="00E40941"/>
    <w:rsid w:val="00E40D96"/>
    <w:rsid w:val="00E40DF6"/>
    <w:rsid w:val="00E411AE"/>
    <w:rsid w:val="00E42052"/>
    <w:rsid w:val="00E421DB"/>
    <w:rsid w:val="00E424E9"/>
    <w:rsid w:val="00E43072"/>
    <w:rsid w:val="00E43B30"/>
    <w:rsid w:val="00E47E3B"/>
    <w:rsid w:val="00E47F6A"/>
    <w:rsid w:val="00E50619"/>
    <w:rsid w:val="00E512B2"/>
    <w:rsid w:val="00E52F9B"/>
    <w:rsid w:val="00E530A1"/>
    <w:rsid w:val="00E5339C"/>
    <w:rsid w:val="00E538A2"/>
    <w:rsid w:val="00E54147"/>
    <w:rsid w:val="00E554C2"/>
    <w:rsid w:val="00E56030"/>
    <w:rsid w:val="00E5628C"/>
    <w:rsid w:val="00E61B75"/>
    <w:rsid w:val="00E6214E"/>
    <w:rsid w:val="00E641F6"/>
    <w:rsid w:val="00E66699"/>
    <w:rsid w:val="00E66DC6"/>
    <w:rsid w:val="00E67C4C"/>
    <w:rsid w:val="00E70B0C"/>
    <w:rsid w:val="00E70DD6"/>
    <w:rsid w:val="00E7360B"/>
    <w:rsid w:val="00E736A1"/>
    <w:rsid w:val="00E73F08"/>
    <w:rsid w:val="00E745A7"/>
    <w:rsid w:val="00E74B94"/>
    <w:rsid w:val="00E7525D"/>
    <w:rsid w:val="00E7550F"/>
    <w:rsid w:val="00E7720F"/>
    <w:rsid w:val="00E77553"/>
    <w:rsid w:val="00E77F7E"/>
    <w:rsid w:val="00E806D9"/>
    <w:rsid w:val="00E81742"/>
    <w:rsid w:val="00E8322D"/>
    <w:rsid w:val="00E833A4"/>
    <w:rsid w:val="00E83E52"/>
    <w:rsid w:val="00E841AA"/>
    <w:rsid w:val="00E84C80"/>
    <w:rsid w:val="00E912A3"/>
    <w:rsid w:val="00E91A67"/>
    <w:rsid w:val="00E92D1F"/>
    <w:rsid w:val="00E94BC7"/>
    <w:rsid w:val="00E95F99"/>
    <w:rsid w:val="00E95FEE"/>
    <w:rsid w:val="00EA073D"/>
    <w:rsid w:val="00EA0EC0"/>
    <w:rsid w:val="00EA1476"/>
    <w:rsid w:val="00EA1DAC"/>
    <w:rsid w:val="00EA1F91"/>
    <w:rsid w:val="00EA2260"/>
    <w:rsid w:val="00EA2618"/>
    <w:rsid w:val="00EA3412"/>
    <w:rsid w:val="00EA448C"/>
    <w:rsid w:val="00EA56DB"/>
    <w:rsid w:val="00EB074E"/>
    <w:rsid w:val="00EB1FAB"/>
    <w:rsid w:val="00EB21B4"/>
    <w:rsid w:val="00EB2E21"/>
    <w:rsid w:val="00EB4A5B"/>
    <w:rsid w:val="00EB4CF0"/>
    <w:rsid w:val="00EB4F7A"/>
    <w:rsid w:val="00EB634C"/>
    <w:rsid w:val="00EB77B4"/>
    <w:rsid w:val="00EB77B8"/>
    <w:rsid w:val="00EC085B"/>
    <w:rsid w:val="00EC09ED"/>
    <w:rsid w:val="00EC1833"/>
    <w:rsid w:val="00EC1C9C"/>
    <w:rsid w:val="00EC1E81"/>
    <w:rsid w:val="00EC2C56"/>
    <w:rsid w:val="00EC3013"/>
    <w:rsid w:val="00EC34EC"/>
    <w:rsid w:val="00EC388F"/>
    <w:rsid w:val="00EC3BC5"/>
    <w:rsid w:val="00EC67A2"/>
    <w:rsid w:val="00EC7E43"/>
    <w:rsid w:val="00ED19BB"/>
    <w:rsid w:val="00ED38D3"/>
    <w:rsid w:val="00ED7055"/>
    <w:rsid w:val="00EE0B0A"/>
    <w:rsid w:val="00EE1DB6"/>
    <w:rsid w:val="00EE24D6"/>
    <w:rsid w:val="00EE256E"/>
    <w:rsid w:val="00EE287A"/>
    <w:rsid w:val="00EE2EC4"/>
    <w:rsid w:val="00EE2F71"/>
    <w:rsid w:val="00EE44B9"/>
    <w:rsid w:val="00EE49F6"/>
    <w:rsid w:val="00EE5036"/>
    <w:rsid w:val="00EE57AB"/>
    <w:rsid w:val="00EE581C"/>
    <w:rsid w:val="00EE5E08"/>
    <w:rsid w:val="00EE5FA1"/>
    <w:rsid w:val="00EE678A"/>
    <w:rsid w:val="00EE6A0C"/>
    <w:rsid w:val="00EE77D8"/>
    <w:rsid w:val="00EF0F3D"/>
    <w:rsid w:val="00EF63EB"/>
    <w:rsid w:val="00EF65FF"/>
    <w:rsid w:val="00EF719F"/>
    <w:rsid w:val="00EF7CE8"/>
    <w:rsid w:val="00F0005D"/>
    <w:rsid w:val="00F01E82"/>
    <w:rsid w:val="00F022E9"/>
    <w:rsid w:val="00F026AE"/>
    <w:rsid w:val="00F0322F"/>
    <w:rsid w:val="00F0392F"/>
    <w:rsid w:val="00F06596"/>
    <w:rsid w:val="00F068F2"/>
    <w:rsid w:val="00F11EB8"/>
    <w:rsid w:val="00F11F48"/>
    <w:rsid w:val="00F145E7"/>
    <w:rsid w:val="00F1483A"/>
    <w:rsid w:val="00F1493C"/>
    <w:rsid w:val="00F15321"/>
    <w:rsid w:val="00F16862"/>
    <w:rsid w:val="00F177D4"/>
    <w:rsid w:val="00F17AC0"/>
    <w:rsid w:val="00F20938"/>
    <w:rsid w:val="00F21671"/>
    <w:rsid w:val="00F2313D"/>
    <w:rsid w:val="00F23CC5"/>
    <w:rsid w:val="00F245A0"/>
    <w:rsid w:val="00F26728"/>
    <w:rsid w:val="00F27542"/>
    <w:rsid w:val="00F276EC"/>
    <w:rsid w:val="00F308E5"/>
    <w:rsid w:val="00F308FD"/>
    <w:rsid w:val="00F30A3D"/>
    <w:rsid w:val="00F32CF0"/>
    <w:rsid w:val="00F33474"/>
    <w:rsid w:val="00F34D16"/>
    <w:rsid w:val="00F357FB"/>
    <w:rsid w:val="00F40792"/>
    <w:rsid w:val="00F415CF"/>
    <w:rsid w:val="00F41851"/>
    <w:rsid w:val="00F42CB2"/>
    <w:rsid w:val="00F43059"/>
    <w:rsid w:val="00F43E40"/>
    <w:rsid w:val="00F45FAC"/>
    <w:rsid w:val="00F4625B"/>
    <w:rsid w:val="00F46730"/>
    <w:rsid w:val="00F4710B"/>
    <w:rsid w:val="00F47E82"/>
    <w:rsid w:val="00F514F6"/>
    <w:rsid w:val="00F515DF"/>
    <w:rsid w:val="00F523CD"/>
    <w:rsid w:val="00F52841"/>
    <w:rsid w:val="00F54552"/>
    <w:rsid w:val="00F54915"/>
    <w:rsid w:val="00F60057"/>
    <w:rsid w:val="00F600F3"/>
    <w:rsid w:val="00F6024F"/>
    <w:rsid w:val="00F614E6"/>
    <w:rsid w:val="00F61826"/>
    <w:rsid w:val="00F6334C"/>
    <w:rsid w:val="00F647F3"/>
    <w:rsid w:val="00F65583"/>
    <w:rsid w:val="00F65F28"/>
    <w:rsid w:val="00F660C0"/>
    <w:rsid w:val="00F6612A"/>
    <w:rsid w:val="00F663BC"/>
    <w:rsid w:val="00F66549"/>
    <w:rsid w:val="00F66693"/>
    <w:rsid w:val="00F67315"/>
    <w:rsid w:val="00F7415B"/>
    <w:rsid w:val="00F742FB"/>
    <w:rsid w:val="00F777AB"/>
    <w:rsid w:val="00F801D3"/>
    <w:rsid w:val="00F811D5"/>
    <w:rsid w:val="00F82FC9"/>
    <w:rsid w:val="00F847DD"/>
    <w:rsid w:val="00F84DE2"/>
    <w:rsid w:val="00F84EE7"/>
    <w:rsid w:val="00F85FA1"/>
    <w:rsid w:val="00F8608F"/>
    <w:rsid w:val="00F86C59"/>
    <w:rsid w:val="00F9017E"/>
    <w:rsid w:val="00F90C20"/>
    <w:rsid w:val="00F924EF"/>
    <w:rsid w:val="00F93D03"/>
    <w:rsid w:val="00F94FF7"/>
    <w:rsid w:val="00F95E77"/>
    <w:rsid w:val="00F968D1"/>
    <w:rsid w:val="00F96EA7"/>
    <w:rsid w:val="00FA09B0"/>
    <w:rsid w:val="00FA1AEB"/>
    <w:rsid w:val="00FA2504"/>
    <w:rsid w:val="00FA278D"/>
    <w:rsid w:val="00FA2966"/>
    <w:rsid w:val="00FA2E17"/>
    <w:rsid w:val="00FA4811"/>
    <w:rsid w:val="00FA578C"/>
    <w:rsid w:val="00FB05F1"/>
    <w:rsid w:val="00FB18DD"/>
    <w:rsid w:val="00FB2BCD"/>
    <w:rsid w:val="00FC05E2"/>
    <w:rsid w:val="00FC151C"/>
    <w:rsid w:val="00FC3F0A"/>
    <w:rsid w:val="00FC4F58"/>
    <w:rsid w:val="00FC56A2"/>
    <w:rsid w:val="00FC6CFC"/>
    <w:rsid w:val="00FC7229"/>
    <w:rsid w:val="00FD0710"/>
    <w:rsid w:val="00FD0A54"/>
    <w:rsid w:val="00FD2CF7"/>
    <w:rsid w:val="00FD2D60"/>
    <w:rsid w:val="00FD5A5E"/>
    <w:rsid w:val="00FE1032"/>
    <w:rsid w:val="00FE12D7"/>
    <w:rsid w:val="00FE239A"/>
    <w:rsid w:val="00FE24D0"/>
    <w:rsid w:val="00FE2B0F"/>
    <w:rsid w:val="00FE4302"/>
    <w:rsid w:val="00FE4466"/>
    <w:rsid w:val="00FE4A1F"/>
    <w:rsid w:val="00FE4B4A"/>
    <w:rsid w:val="00FE6DA4"/>
    <w:rsid w:val="00FE6DD0"/>
    <w:rsid w:val="00FE7996"/>
    <w:rsid w:val="00FF0005"/>
    <w:rsid w:val="00FF0075"/>
    <w:rsid w:val="00FF08EF"/>
    <w:rsid w:val="00FF0CA0"/>
    <w:rsid w:val="00FF13A8"/>
    <w:rsid w:val="00FF1920"/>
    <w:rsid w:val="00FF21E6"/>
    <w:rsid w:val="00FF2817"/>
    <w:rsid w:val="00FF3FE3"/>
    <w:rsid w:val="00FF4060"/>
    <w:rsid w:val="00FF7117"/>
    <w:rsid w:val="00FF741C"/>
    <w:rsid w:val="00FF7691"/>
    <w:rsid w:val="00FF7FF9"/>
    <w:rsid w:val="02FE6EB3"/>
    <w:rsid w:val="06E24A30"/>
    <w:rsid w:val="08A47BED"/>
    <w:rsid w:val="08C6590F"/>
    <w:rsid w:val="09E0062D"/>
    <w:rsid w:val="0B29405F"/>
    <w:rsid w:val="0C783F71"/>
    <w:rsid w:val="0DB15449"/>
    <w:rsid w:val="0E7C693A"/>
    <w:rsid w:val="0FE83628"/>
    <w:rsid w:val="106415A8"/>
    <w:rsid w:val="15630D28"/>
    <w:rsid w:val="162E097A"/>
    <w:rsid w:val="166911B0"/>
    <w:rsid w:val="170151A8"/>
    <w:rsid w:val="170D57A2"/>
    <w:rsid w:val="17F22D10"/>
    <w:rsid w:val="18A50370"/>
    <w:rsid w:val="19B93FC3"/>
    <w:rsid w:val="1A8C3C8D"/>
    <w:rsid w:val="1BEE3F63"/>
    <w:rsid w:val="1CE94586"/>
    <w:rsid w:val="211E6394"/>
    <w:rsid w:val="21A03E19"/>
    <w:rsid w:val="22A13F71"/>
    <w:rsid w:val="22CB50EE"/>
    <w:rsid w:val="230A7B7B"/>
    <w:rsid w:val="231D270C"/>
    <w:rsid w:val="23F6771D"/>
    <w:rsid w:val="24E25814"/>
    <w:rsid w:val="24FA5B3F"/>
    <w:rsid w:val="25880C9E"/>
    <w:rsid w:val="27E1706E"/>
    <w:rsid w:val="27E40F86"/>
    <w:rsid w:val="281C0FC6"/>
    <w:rsid w:val="28CD683C"/>
    <w:rsid w:val="2A5135BA"/>
    <w:rsid w:val="2ECE0A16"/>
    <w:rsid w:val="2F1813CE"/>
    <w:rsid w:val="2F2E2E0C"/>
    <w:rsid w:val="30103490"/>
    <w:rsid w:val="30171890"/>
    <w:rsid w:val="336817AD"/>
    <w:rsid w:val="3AB3092C"/>
    <w:rsid w:val="3ACA4367"/>
    <w:rsid w:val="3FA95079"/>
    <w:rsid w:val="42D94E55"/>
    <w:rsid w:val="43341F9C"/>
    <w:rsid w:val="434F7CB4"/>
    <w:rsid w:val="442C660D"/>
    <w:rsid w:val="443D147B"/>
    <w:rsid w:val="489F4F35"/>
    <w:rsid w:val="4C6B1765"/>
    <w:rsid w:val="4C8963B7"/>
    <w:rsid w:val="4D8B678A"/>
    <w:rsid w:val="4EF26CFF"/>
    <w:rsid w:val="4F663A5A"/>
    <w:rsid w:val="506B2B9B"/>
    <w:rsid w:val="52786A89"/>
    <w:rsid w:val="55F318EC"/>
    <w:rsid w:val="57194B2B"/>
    <w:rsid w:val="5916371D"/>
    <w:rsid w:val="5AF62FFC"/>
    <w:rsid w:val="5E7B55FE"/>
    <w:rsid w:val="5F1A1396"/>
    <w:rsid w:val="636837B4"/>
    <w:rsid w:val="66072D8D"/>
    <w:rsid w:val="684647DD"/>
    <w:rsid w:val="6CDE7553"/>
    <w:rsid w:val="6D3D679F"/>
    <w:rsid w:val="6E8B2699"/>
    <w:rsid w:val="6FA25A75"/>
    <w:rsid w:val="6FD301D1"/>
    <w:rsid w:val="70F82381"/>
    <w:rsid w:val="71CD5937"/>
    <w:rsid w:val="73BA4FDA"/>
    <w:rsid w:val="73C0270C"/>
    <w:rsid w:val="759C0D8A"/>
    <w:rsid w:val="77351D51"/>
    <w:rsid w:val="773F13B0"/>
    <w:rsid w:val="792A1304"/>
    <w:rsid w:val="7A7872D4"/>
    <w:rsid w:val="7D7C49F4"/>
    <w:rsid w:val="7FB11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Times New Roman"/>
      <w:kern w:val="2"/>
      <w:sz w:val="32"/>
      <w:szCs w:val="32"/>
      <w:lang w:val="en-US" w:eastAsia="zh-CN" w:bidi="ar-SA"/>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Date"/>
    <w:basedOn w:val="1"/>
    <w:next w:val="1"/>
    <w:link w:val="22"/>
    <w:qFormat/>
    <w:uiPriority w:val="0"/>
    <w:pPr>
      <w:ind w:left="100" w:leftChars="2500"/>
    </w:pPr>
  </w:style>
  <w:style w:type="paragraph" w:styleId="4">
    <w:name w:val="Balloon Text"/>
    <w:basedOn w:val="1"/>
    <w:qFormat/>
    <w:uiPriority w:val="0"/>
    <w:rPr>
      <w:sz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footnote text"/>
    <w:basedOn w:val="1"/>
    <w:qFormat/>
    <w:uiPriority w:val="99"/>
    <w:pPr>
      <w:snapToGrid w:val="0"/>
      <w:jc w:val="left"/>
    </w:pPr>
    <w:rPr>
      <w:sz w:val="18"/>
    </w:rPr>
  </w:style>
  <w:style w:type="character" w:styleId="9">
    <w:name w:val="page number"/>
    <w:basedOn w:val="8"/>
    <w:qFormat/>
    <w:uiPriority w:val="0"/>
  </w:style>
  <w:style w:type="character" w:styleId="10">
    <w:name w:val="footnote reference"/>
    <w:qFormat/>
    <w:uiPriority w:val="0"/>
    <w:rPr>
      <w:vertAlign w:val="superscript"/>
    </w:rPr>
  </w:style>
  <w:style w:type="table" w:styleId="12">
    <w:name w:val="Table Grid"/>
    <w:basedOn w:val="1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3">
    <w:name w:val="Medium List 2 Accent 1"/>
    <w:basedOn w:val="11"/>
    <w:qFormat/>
    <w:uiPriority w:val="66"/>
    <w:rPr>
      <w:rFonts w:ascii="Cambria" w:hAnsi="Cambria" w:eastAsia="宋体"/>
      <w:color w:val="000000"/>
      <w:sz w:val="22"/>
      <w:szCs w:val="22"/>
    </w:rPr>
    <w:tblPr>
      <w:tblBorders>
        <w:top w:val="single" w:color="4F81BD" w:sz="8" w:space="0"/>
        <w:left w:val="single" w:color="4F81BD" w:sz="8" w:space="0"/>
        <w:bottom w:val="single" w:color="4F81BD" w:sz="8" w:space="0"/>
        <w:right w:val="single" w:color="4F81BD"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F81BD" w:sz="24" w:space="0"/>
          <w:right w:val="nil"/>
          <w:insideH w:val="nil"/>
          <w:insideV w:val="nil"/>
        </w:tcBorders>
        <w:shd w:val="clear" w:color="auto" w:fill="FFFFFF"/>
      </w:tcPr>
    </w:tblStylePr>
    <w:tblStylePr w:type="lastRow">
      <w:tblPr>
        <w:tblLayout w:type="fixed"/>
      </w:tblPr>
      <w:tcPr>
        <w:tcBorders>
          <w:top w:val="single" w:color="4F81BD" w:sz="8" w:space="0"/>
          <w:left w:val="nil"/>
          <w:bottom w:val="nil"/>
          <w:right w:val="nil"/>
          <w:insideH w:val="nil"/>
          <w:insideV w:val="nil"/>
        </w:tcBorders>
        <w:shd w:val="clear" w:color="auto" w:fill="FFFFFF"/>
      </w:tcPr>
    </w:tblStylePr>
    <w:tblStylePr w:type="firstCol">
      <w:tblPr>
        <w:tblLayout w:type="fixed"/>
      </w:tblPr>
      <w:tcPr>
        <w:tcBorders>
          <w:top w:val="nil"/>
          <w:left w:val="nil"/>
          <w:bottom w:val="nil"/>
          <w:right w:val="single" w:color="4F81BD" w:sz="8" w:space="0"/>
          <w:insideH w:val="nil"/>
          <w:insideV w:val="nil"/>
        </w:tcBorders>
        <w:shd w:val="clear" w:color="auto" w:fill="FFFFFF"/>
      </w:tcPr>
    </w:tblStylePr>
    <w:tblStylePr w:type="lastCol">
      <w:tblPr>
        <w:tblLayout w:type="fixed"/>
      </w:tblPr>
      <w:tcPr>
        <w:tcBorders>
          <w:top w:val="nil"/>
          <w:left w:val="single" w:color="4F81BD" w:sz="8" w:space="0"/>
          <w:bottom w:val="nil"/>
          <w:right w:val="nil"/>
          <w:insideH w:val="nil"/>
          <w:insideV w:val="nil"/>
        </w:tcBorders>
        <w:shd w:val="clear" w:color="auto" w:fill="FFFFFF"/>
      </w:tcPr>
    </w:tblStylePr>
    <w:tblStylePr w:type="band1Vert">
      <w:tblPr>
        <w:tblLayout w:type="fixed"/>
      </w:tblPr>
      <w:tcPr>
        <w:tcBorders>
          <w:left w:val="nil"/>
          <w:right w:val="nil"/>
          <w:insideH w:val="nil"/>
          <w:insideV w:val="nil"/>
        </w:tcBorders>
        <w:shd w:val="clear" w:color="auto" w:fill="D3DFEE"/>
      </w:tcPr>
    </w:tblStylePr>
    <w:tblStylePr w:type="band1Horz">
      <w:tblPr>
        <w:tblLayout w:type="fixed"/>
      </w:tblPr>
      <w:tcPr>
        <w:tcBorders>
          <w:top w:val="nil"/>
          <w:bottom w:val="nil"/>
          <w:insideH w:val="nil"/>
          <w:insideV w:val="nil"/>
        </w:tcBorders>
        <w:shd w:val="clear" w:color="auto" w:fill="D3DFEE"/>
      </w:tcPr>
    </w:tblStylePr>
    <w:tblStylePr w:type="nwCell">
      <w:tblPr>
        <w:tblLayout w:type="fixed"/>
      </w:tblPr>
      <w:tcPr>
        <w:shd w:val="clear" w:color="auto" w:fill="FFFFFF"/>
      </w:tcPr>
    </w:tblStylePr>
    <w:tblStylePr w:type="swCell">
      <w:tblPr>
        <w:tblLayout w:type="fixed"/>
      </w:tblPr>
      <w:tcPr>
        <w:tcBorders>
          <w:top w:val="nil"/>
        </w:tcBorders>
      </w:tcPr>
    </w:tblStylePr>
  </w:style>
  <w:style w:type="character" w:customStyle="1" w:styleId="14">
    <w:name w:val="页眉 Char"/>
    <w:qFormat/>
    <w:uiPriority w:val="0"/>
    <w:rPr>
      <w:sz w:val="18"/>
    </w:rPr>
  </w:style>
  <w:style w:type="character" w:customStyle="1" w:styleId="15">
    <w:name w:val="页脚 Char"/>
    <w:qFormat/>
    <w:uiPriority w:val="0"/>
    <w:rPr>
      <w:sz w:val="18"/>
    </w:rPr>
  </w:style>
  <w:style w:type="character" w:customStyle="1" w:styleId="16">
    <w:name w:val="批注框文本 Char"/>
    <w:qFormat/>
    <w:uiPriority w:val="0"/>
    <w:rPr>
      <w:sz w:val="18"/>
    </w:rPr>
  </w:style>
  <w:style w:type="character" w:customStyle="1" w:styleId="17">
    <w:name w:val="脚注文本 Char"/>
    <w:qFormat/>
    <w:uiPriority w:val="99"/>
    <w:rPr>
      <w:sz w:val="18"/>
    </w:rPr>
  </w:style>
  <w:style w:type="paragraph" w:customStyle="1" w:styleId="18">
    <w:name w:val="Char"/>
    <w:basedOn w:val="1"/>
    <w:qFormat/>
    <w:uiPriority w:val="0"/>
    <w:pPr>
      <w:spacing w:line="240" w:lineRule="atLeast"/>
      <w:ind w:left="420" w:firstLine="420"/>
    </w:pPr>
    <w:rPr>
      <w:rFonts w:eastAsia="宋体"/>
      <w:kern w:val="0"/>
      <w:sz w:val="21"/>
    </w:rPr>
  </w:style>
  <w:style w:type="paragraph" w:customStyle="1" w:styleId="19">
    <w:name w:val="Decimal Aligned"/>
    <w:basedOn w:val="1"/>
    <w:qFormat/>
    <w:uiPriority w:val="40"/>
    <w:pPr>
      <w:widowControl/>
      <w:tabs>
        <w:tab w:val="decimal" w:pos="360"/>
      </w:tabs>
      <w:spacing w:after="200" w:line="276" w:lineRule="auto"/>
      <w:jc w:val="left"/>
    </w:pPr>
    <w:rPr>
      <w:rFonts w:ascii="Calibri" w:hAnsi="Calibri" w:eastAsia="Calibri"/>
      <w:kern w:val="0"/>
      <w:sz w:val="22"/>
      <w:szCs w:val="22"/>
    </w:rPr>
  </w:style>
  <w:style w:type="character" w:customStyle="1" w:styleId="20">
    <w:name w:val="Subtle Emphasis"/>
    <w:qFormat/>
    <w:uiPriority w:val="19"/>
    <w:rPr>
      <w:i/>
      <w:iCs/>
      <w:color w:val="000000"/>
    </w:rPr>
  </w:style>
  <w:style w:type="table" w:customStyle="1" w:styleId="21">
    <w:name w:val="浅色底纹 - 强调文字颜色 11"/>
    <w:basedOn w:val="11"/>
    <w:qFormat/>
    <w:uiPriority w:val="60"/>
    <w:rPr>
      <w:rFonts w:ascii="Calibri" w:hAnsi="Calibri" w:eastAsia="宋体"/>
      <w:color w:val="4F81BD"/>
      <w:sz w:val="22"/>
      <w:szCs w:val="22"/>
    </w:rPr>
    <w:tblPr>
      <w:tblBorders>
        <w:top w:val="single" w:color="4F81BD" w:sz="8" w:space="0"/>
        <w:bottom w:val="single" w:color="4F81BD"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character" w:customStyle="1" w:styleId="22">
    <w:name w:val="日期 Char"/>
    <w:link w:val="3"/>
    <w:qFormat/>
    <w:uiPriority w:val="0"/>
    <w:rPr>
      <w:kern w:val="2"/>
      <w:sz w:val="32"/>
      <w:szCs w:val="32"/>
    </w:rPr>
  </w:style>
  <w:style w:type="paragraph" w:styleId="23">
    <w:name w:val="No Spacing"/>
    <w:qFormat/>
    <w:uiPriority w:val="1"/>
    <w:pPr>
      <w:widowControl w:val="0"/>
      <w:jc w:val="both"/>
    </w:pPr>
    <w:rPr>
      <w:rFonts w:ascii="仿宋_GB2312" w:hAnsi="宋体" w:eastAsia="仿宋_GB2312" w:cs="Times New Roman"/>
      <w:kern w:val="2"/>
      <w:sz w:val="32"/>
      <w:szCs w:val="32"/>
      <w:lang w:val="en-US" w:eastAsia="zh-CN" w:bidi="ar-SA"/>
    </w:rPr>
  </w:style>
  <w:style w:type="character" w:customStyle="1" w:styleId="24">
    <w:name w:val="font11"/>
    <w:basedOn w:val="8"/>
    <w:qFormat/>
    <w:uiPriority w:val="0"/>
    <w:rPr>
      <w:rFonts w:hint="eastAsia" w:ascii="宋体" w:hAnsi="宋体" w:eastAsia="宋体" w:cs="宋体"/>
      <w:color w:val="000000"/>
      <w:sz w:val="20"/>
      <w:szCs w:val="20"/>
      <w:u w:val="none"/>
    </w:rPr>
  </w:style>
  <w:style w:type="character" w:customStyle="1" w:styleId="25">
    <w:name w:val="font41"/>
    <w:basedOn w:val="8"/>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chart" Target="charts/chart16.xml"/><Relationship Id="rId20" Type="http://schemas.openxmlformats.org/officeDocument/2006/relationships/chart" Target="charts/chart15.xml"/><Relationship Id="rId2" Type="http://schemas.openxmlformats.org/officeDocument/2006/relationships/settings" Target="settings.xml"/><Relationship Id="rId19" Type="http://schemas.openxmlformats.org/officeDocument/2006/relationships/chart" Target="charts/chart14.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13.xlsx"/></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14.xlsx"/></Relationships>
</file>

<file path=word/charts/_rels/chart7.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Workbook15.xlsx"/></Relationships>
</file>

<file path=word/charts/_rels/chart8.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package" Target="../embeddings/Workbook16.xlsx"/></Relationships>
</file>

<file path=word/charts/_rels/chart9.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cap="all" spc="150" baseline="0">
                <a:solidFill>
                  <a:schemeClr val="tx1">
                    <a:lumMod val="50000"/>
                    <a:lumOff val="50000"/>
                  </a:schemeClr>
                </a:solidFill>
                <a:latin typeface="+mn-lt"/>
                <a:ea typeface="+mn-ea"/>
                <a:cs typeface="+mn-cs"/>
              </a:defRPr>
            </a:pPr>
            <a:r>
              <a:rPr lang="en-US" altLang="zh-CN"/>
              <a:t>2017</a:t>
            </a:r>
            <a:r>
              <a:rPr altLang="en-US"/>
              <a:t>年度案件收结存同比情况</a:t>
            </a:r>
            <a:endParaRPr altLang="en-US"/>
          </a:p>
        </c:rich>
      </c:tx>
      <c:layout/>
      <c:overlay val="0"/>
      <c:spPr>
        <a:noFill/>
        <a:ln>
          <a:noFill/>
        </a:ln>
        <a:effectLst/>
      </c:spPr>
    </c:title>
    <c:autoTitleDeleted val="0"/>
    <c:plotArea>
      <c:layout>
        <c:manualLayout>
          <c:layoutTarget val="inner"/>
          <c:xMode val="edge"/>
          <c:yMode val="edge"/>
          <c:x val="0.0846058502726824"/>
          <c:y val="0.325948621258543"/>
          <c:w val="0.911675756073376"/>
          <c:h val="0.577044543954749"/>
        </c:manualLayout>
      </c:layout>
      <c:barChart>
        <c:barDir val="col"/>
        <c:grouping val="clustered"/>
        <c:varyColors val="0"/>
        <c:ser>
          <c:idx val="0"/>
          <c:order val="0"/>
          <c:tx>
            <c:strRef>
              <c:f>Sheet1!$B$1</c:f>
              <c:strCache>
                <c:ptCount val="1"/>
                <c:pt idx="0">
                  <c:v>2016年（件）</c:v>
                </c:pt>
              </c:strCache>
            </c:strRef>
          </c:tx>
          <c:spPr>
            <a:solidFill>
              <a:schemeClr val="accent1"/>
            </a:solidFill>
            <a:ln>
              <a:noFill/>
            </a:ln>
            <a:effectLst>
              <a:innerShdw blurRad="114300">
                <a:schemeClr val="accent1"/>
              </a:inn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Sheet1!$A$2:$A$5</c:f>
              <c:strCache>
                <c:ptCount val="4"/>
                <c:pt idx="0">
                  <c:v>旧存</c:v>
                </c:pt>
                <c:pt idx="1">
                  <c:v>新收</c:v>
                </c:pt>
                <c:pt idx="2">
                  <c:v>已结</c:v>
                </c:pt>
                <c:pt idx="3">
                  <c:v>未结</c:v>
                </c:pt>
              </c:strCache>
            </c:strRef>
          </c:cat>
          <c:val>
            <c:numRef>
              <c:f>Sheet1!$B$2:$B$5</c:f>
              <c:numCache>
                <c:formatCode>General</c:formatCode>
                <c:ptCount val="4"/>
                <c:pt idx="0">
                  <c:v>118</c:v>
                </c:pt>
                <c:pt idx="1">
                  <c:v>1149</c:v>
                </c:pt>
                <c:pt idx="2">
                  <c:v>1190</c:v>
                </c:pt>
                <c:pt idx="3">
                  <c:v>77</c:v>
                </c:pt>
              </c:numCache>
            </c:numRef>
          </c:val>
        </c:ser>
        <c:ser>
          <c:idx val="1"/>
          <c:order val="1"/>
          <c:tx>
            <c:strRef>
              <c:f>Sheet1!$C$1</c:f>
              <c:strCache>
                <c:ptCount val="1"/>
                <c:pt idx="0">
                  <c:v>2017年（件）</c:v>
                </c:pt>
              </c:strCache>
            </c:strRef>
          </c:tx>
          <c:spPr>
            <a:solidFill>
              <a:schemeClr val="accent2"/>
            </a:solidFill>
            <a:ln>
              <a:noFill/>
            </a:ln>
            <a:effectLst>
              <a:innerShdw blurRad="114300">
                <a:schemeClr val="accent2"/>
              </a:inn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Sheet1!$A$2:$A$5</c:f>
              <c:strCache>
                <c:ptCount val="4"/>
                <c:pt idx="0">
                  <c:v>旧存</c:v>
                </c:pt>
                <c:pt idx="1">
                  <c:v>新收</c:v>
                </c:pt>
                <c:pt idx="2">
                  <c:v>已结</c:v>
                </c:pt>
                <c:pt idx="3">
                  <c:v>未结</c:v>
                </c:pt>
              </c:strCache>
            </c:strRef>
          </c:cat>
          <c:val>
            <c:numRef>
              <c:f>Sheet1!$C$2:$C$5</c:f>
              <c:numCache>
                <c:formatCode>General</c:formatCode>
                <c:ptCount val="4"/>
                <c:pt idx="0">
                  <c:v>77</c:v>
                </c:pt>
                <c:pt idx="1">
                  <c:v>1064</c:v>
                </c:pt>
                <c:pt idx="2">
                  <c:v>1089</c:v>
                </c:pt>
                <c:pt idx="3">
                  <c:v>52</c:v>
                </c:pt>
              </c:numCache>
            </c:numRef>
          </c:val>
        </c:ser>
        <c:dLbls>
          <c:showLegendKey val="0"/>
          <c:showVal val="1"/>
          <c:showCatName val="0"/>
          <c:showSerName val="0"/>
          <c:showPercent val="0"/>
          <c:showBubbleSize val="0"/>
        </c:dLbls>
        <c:gapWidth val="164"/>
        <c:overlap val="-22"/>
        <c:axId val="975135898"/>
        <c:axId val="94386435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extLst>
                      <c:ext uri="{02D57815-91ED-43cb-92C2-25804820EDAC}">
                        <c15:fullRef>
                          <c15:sqref/>
                        </c15:fullRef>
                        <c15:formulaRef>
                          <c15:sqref>Sheet1!$A$2:$A$5</c15:sqref>
                        </c15:formulaRef>
                      </c:ext>
                    </c:extLst>
                    <c:strCache>
                      <c:ptCount val="4"/>
                      <c:pt idx="0">
                        <c:v>旧存</c:v>
                      </c:pt>
                      <c:pt idx="1">
                        <c:v>新收</c:v>
                      </c:pt>
                      <c:pt idx="2">
                        <c:v>已结</c:v>
                      </c:pt>
                      <c:pt idx="3">
                        <c:v>未结</c:v>
                      </c:pt>
                    </c:strCache>
                  </c:strRef>
                </c:cat>
                <c:val>
                  <c:numRef>
                    <c:extLst>
                      <c:ext uri="{02D57815-91ED-43cb-92C2-25804820EDAC}">
                        <c15:formulaRef>
                          <c15:sqref>Sheet1!$D$2:$D$5</c15:sqref>
                        </c15:formulaRef>
                      </c:ext>
                    </c:extLst>
                    <c:numCache>
                      <c:formatCode>General</c:formatCode>
                      <c:ptCount val="4"/>
                    </c:numCache>
                  </c:numRef>
                </c:val>
              </c15:ser>
            </c15:filteredBarSeries>
          </c:ext>
        </c:extLst>
      </c:barChart>
      <c:catAx>
        <c:axId val="975135898"/>
        <c:scaling>
          <c:orientation val="minMax"/>
        </c:scaling>
        <c:delete val="0"/>
        <c:axPos val="b"/>
        <c:majorTickMark val="none"/>
        <c:minorTickMark val="none"/>
        <c:tickLblPos val="nextTo"/>
        <c:spPr>
          <a:noFill/>
          <a:ln w="19050"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3864352"/>
        <c:crosses val="autoZero"/>
        <c:auto val="1"/>
        <c:lblAlgn val="ctr"/>
        <c:lblOffset val="100"/>
        <c:noMultiLvlLbl val="0"/>
      </c:catAx>
      <c:valAx>
        <c:axId val="943864352"/>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5135898"/>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立案</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Sheet1!$A$2:$A$13</c:f>
              <c:strCache>
                <c:ptCount val="12"/>
                <c:pt idx="0">
                  <c:v>1月（包含旧存）</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Sheet1!$B$2:$B$13</c:f>
              <c:numCache>
                <c:formatCode>General</c:formatCode>
                <c:ptCount val="12"/>
                <c:pt idx="0">
                  <c:v>12</c:v>
                </c:pt>
                <c:pt idx="1">
                  <c:v>7</c:v>
                </c:pt>
                <c:pt idx="2">
                  <c:v>4</c:v>
                </c:pt>
                <c:pt idx="3">
                  <c:v>5</c:v>
                </c:pt>
                <c:pt idx="4">
                  <c:v>4</c:v>
                </c:pt>
                <c:pt idx="5">
                  <c:v>5</c:v>
                </c:pt>
                <c:pt idx="6">
                  <c:v>11</c:v>
                </c:pt>
                <c:pt idx="7">
                  <c:v>10</c:v>
                </c:pt>
                <c:pt idx="8">
                  <c:v>10</c:v>
                </c:pt>
                <c:pt idx="9">
                  <c:v>7</c:v>
                </c:pt>
                <c:pt idx="10">
                  <c:v>2</c:v>
                </c:pt>
                <c:pt idx="11">
                  <c:v>1</c:v>
                </c:pt>
              </c:numCache>
            </c:numRef>
          </c:val>
          <c:smooth val="0"/>
        </c:ser>
        <c:ser>
          <c:idx val="1"/>
          <c:order val="1"/>
          <c:tx>
            <c:strRef>
              <c:f>Sheet1!$C$1</c:f>
              <c:strCache>
                <c:ptCount val="1"/>
                <c:pt idx="0">
                  <c:v>结案</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Sheet1!$A$2:$A$13</c:f>
              <c:strCache>
                <c:ptCount val="12"/>
                <c:pt idx="0">
                  <c:v>1月（包含旧存）</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Sheet1!$C$2:$C$13</c:f>
              <c:numCache>
                <c:formatCode>General</c:formatCode>
                <c:ptCount val="12"/>
                <c:pt idx="0">
                  <c:v>1</c:v>
                </c:pt>
                <c:pt idx="1">
                  <c:v>1</c:v>
                </c:pt>
                <c:pt idx="2">
                  <c:v>3</c:v>
                </c:pt>
                <c:pt idx="3">
                  <c:v>3</c:v>
                </c:pt>
                <c:pt idx="4">
                  <c:v>5</c:v>
                </c:pt>
                <c:pt idx="5">
                  <c:v>7</c:v>
                </c:pt>
                <c:pt idx="6">
                  <c:v>5</c:v>
                </c:pt>
                <c:pt idx="7">
                  <c:v>8</c:v>
                </c:pt>
                <c:pt idx="8">
                  <c:v>15</c:v>
                </c:pt>
                <c:pt idx="9">
                  <c:v>2</c:v>
                </c:pt>
                <c:pt idx="10">
                  <c:v>13</c:v>
                </c:pt>
                <c:pt idx="11">
                  <c:v>6</c:v>
                </c:pt>
              </c:numCache>
            </c:numRef>
          </c:val>
          <c:smooth val="0"/>
        </c:ser>
        <c:dLbls>
          <c:showLegendKey val="0"/>
          <c:showVal val="1"/>
          <c:showCatName val="0"/>
          <c:showSerName val="0"/>
          <c:showPercent val="0"/>
          <c:showBubbleSize val="0"/>
        </c:dLbls>
        <c:marker val="1"/>
        <c:smooth val="0"/>
        <c:axId val="185235712"/>
        <c:axId val="185483648"/>
      </c:lineChart>
      <c:catAx>
        <c:axId val="18523571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5483648"/>
        <c:crosses val="autoZero"/>
        <c:auto val="1"/>
        <c:lblAlgn val="ctr"/>
        <c:lblOffset val="100"/>
        <c:noMultiLvlLbl val="0"/>
      </c:catAx>
      <c:valAx>
        <c:axId val="18548364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523571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443859336886"/>
          <c:y val="0.0549019607843137"/>
          <c:w val="0.703273694238843"/>
          <c:h val="0.634674922600619"/>
        </c:manualLayout>
      </c:layout>
      <c:lineChart>
        <c:grouping val="standard"/>
        <c:varyColors val="0"/>
        <c:ser>
          <c:idx val="0"/>
          <c:order val="0"/>
          <c:tx>
            <c:strRef>
              <c:f>Sheet1!$B$1</c:f>
              <c:strCache>
                <c:ptCount val="1"/>
                <c:pt idx="0">
                  <c:v>立案</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Sheet1!$A$2:$A$13</c:f>
              <c:strCache>
                <c:ptCount val="12"/>
                <c:pt idx="0">
                  <c:v>1月（包含旧存）</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Sheet1!$B$2:$B$13</c:f>
              <c:numCache>
                <c:formatCode>General</c:formatCode>
                <c:ptCount val="12"/>
                <c:pt idx="0">
                  <c:v>16</c:v>
                </c:pt>
                <c:pt idx="1">
                  <c:v>9</c:v>
                </c:pt>
                <c:pt idx="2">
                  <c:v>8</c:v>
                </c:pt>
                <c:pt idx="3">
                  <c:v>9</c:v>
                </c:pt>
                <c:pt idx="4">
                  <c:v>4</c:v>
                </c:pt>
                <c:pt idx="5">
                  <c:v>7</c:v>
                </c:pt>
                <c:pt idx="6">
                  <c:v>4</c:v>
                </c:pt>
                <c:pt idx="7">
                  <c:v>10</c:v>
                </c:pt>
                <c:pt idx="8">
                  <c:v>5</c:v>
                </c:pt>
                <c:pt idx="9">
                  <c:v>4</c:v>
                </c:pt>
                <c:pt idx="10">
                  <c:v>5</c:v>
                </c:pt>
                <c:pt idx="11">
                  <c:v>1</c:v>
                </c:pt>
              </c:numCache>
            </c:numRef>
          </c:val>
          <c:smooth val="0"/>
        </c:ser>
        <c:ser>
          <c:idx val="1"/>
          <c:order val="1"/>
          <c:tx>
            <c:strRef>
              <c:f>Sheet1!$C$1</c:f>
              <c:strCache>
                <c:ptCount val="1"/>
                <c:pt idx="0">
                  <c:v>结案</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Sheet1!$A$2:$A$13</c:f>
              <c:strCache>
                <c:ptCount val="12"/>
                <c:pt idx="0">
                  <c:v>1月（包含旧存）</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Sheet1!$C$2:$C$13</c:f>
              <c:numCache>
                <c:formatCode>General</c:formatCode>
                <c:ptCount val="12"/>
                <c:pt idx="0">
                  <c:v>4</c:v>
                </c:pt>
                <c:pt idx="1">
                  <c:v>3</c:v>
                </c:pt>
                <c:pt idx="2">
                  <c:v>2</c:v>
                </c:pt>
                <c:pt idx="3">
                  <c:v>11</c:v>
                </c:pt>
                <c:pt idx="4">
                  <c:v>16</c:v>
                </c:pt>
                <c:pt idx="5">
                  <c:v>9</c:v>
                </c:pt>
                <c:pt idx="6">
                  <c:v>5</c:v>
                </c:pt>
                <c:pt idx="7">
                  <c:v>4</c:v>
                </c:pt>
                <c:pt idx="8">
                  <c:v>9</c:v>
                </c:pt>
                <c:pt idx="9">
                  <c:v>5</c:v>
                </c:pt>
                <c:pt idx="10">
                  <c:v>5</c:v>
                </c:pt>
                <c:pt idx="11">
                  <c:v>9</c:v>
                </c:pt>
              </c:numCache>
            </c:numRef>
          </c:val>
          <c:smooth val="0"/>
        </c:ser>
        <c:dLbls>
          <c:showLegendKey val="0"/>
          <c:showVal val="1"/>
          <c:showCatName val="0"/>
          <c:showSerName val="0"/>
          <c:showPercent val="0"/>
          <c:showBubbleSize val="0"/>
        </c:dLbls>
        <c:marker val="1"/>
        <c:smooth val="0"/>
        <c:axId val="185141120"/>
        <c:axId val="185142656"/>
      </c:lineChart>
      <c:catAx>
        <c:axId val="18514112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5142656"/>
        <c:crosses val="autoZero"/>
        <c:auto val="1"/>
        <c:lblAlgn val="ctr"/>
        <c:lblOffset val="100"/>
        <c:noMultiLvlLbl val="0"/>
      </c:catAx>
      <c:valAx>
        <c:axId val="18514265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514112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立案</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Sheet1!$A$2:$A$13</c:f>
              <c:strCache>
                <c:ptCount val="12"/>
                <c:pt idx="0">
                  <c:v>1月（包含旧存）</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Sheet1!$B$2:$B$13</c:f>
              <c:numCache>
                <c:formatCode>General</c:formatCode>
                <c:ptCount val="12"/>
                <c:pt idx="0">
                  <c:v>16</c:v>
                </c:pt>
                <c:pt idx="1">
                  <c:v>9</c:v>
                </c:pt>
                <c:pt idx="2">
                  <c:v>8</c:v>
                </c:pt>
                <c:pt idx="3">
                  <c:v>9</c:v>
                </c:pt>
                <c:pt idx="4">
                  <c:v>4</c:v>
                </c:pt>
                <c:pt idx="5">
                  <c:v>7</c:v>
                </c:pt>
                <c:pt idx="6">
                  <c:v>4</c:v>
                </c:pt>
                <c:pt idx="7">
                  <c:v>10</c:v>
                </c:pt>
                <c:pt idx="8">
                  <c:v>5</c:v>
                </c:pt>
                <c:pt idx="9">
                  <c:v>4</c:v>
                </c:pt>
                <c:pt idx="10">
                  <c:v>5</c:v>
                </c:pt>
                <c:pt idx="11">
                  <c:v>1</c:v>
                </c:pt>
              </c:numCache>
            </c:numRef>
          </c:val>
          <c:smooth val="0"/>
        </c:ser>
        <c:ser>
          <c:idx val="1"/>
          <c:order val="1"/>
          <c:tx>
            <c:strRef>
              <c:f>Sheet1!$C$1</c:f>
              <c:strCache>
                <c:ptCount val="1"/>
                <c:pt idx="0">
                  <c:v>结案</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Sheet1!$A$2:$A$13</c:f>
              <c:strCache>
                <c:ptCount val="12"/>
                <c:pt idx="0">
                  <c:v>1月（包含旧存）</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Sheet1!$C$2:$C$13</c:f>
              <c:numCache>
                <c:formatCode>General</c:formatCode>
                <c:ptCount val="12"/>
                <c:pt idx="0">
                  <c:v>4</c:v>
                </c:pt>
                <c:pt idx="1">
                  <c:v>3</c:v>
                </c:pt>
                <c:pt idx="2">
                  <c:v>2</c:v>
                </c:pt>
                <c:pt idx="3">
                  <c:v>11</c:v>
                </c:pt>
                <c:pt idx="4">
                  <c:v>16</c:v>
                </c:pt>
                <c:pt idx="5">
                  <c:v>9</c:v>
                </c:pt>
                <c:pt idx="6">
                  <c:v>5</c:v>
                </c:pt>
                <c:pt idx="7">
                  <c:v>4</c:v>
                </c:pt>
                <c:pt idx="8">
                  <c:v>9</c:v>
                </c:pt>
                <c:pt idx="9">
                  <c:v>5</c:v>
                </c:pt>
                <c:pt idx="10">
                  <c:v>5</c:v>
                </c:pt>
                <c:pt idx="11">
                  <c:v>9</c:v>
                </c:pt>
              </c:numCache>
            </c:numRef>
          </c:val>
          <c:smooth val="0"/>
        </c:ser>
        <c:dLbls>
          <c:showLegendKey val="0"/>
          <c:showVal val="1"/>
          <c:showCatName val="0"/>
          <c:showSerName val="0"/>
          <c:showPercent val="0"/>
          <c:showBubbleSize val="0"/>
        </c:dLbls>
        <c:marker val="1"/>
        <c:smooth val="0"/>
        <c:axId val="185141120"/>
        <c:axId val="185142656"/>
      </c:lineChart>
      <c:catAx>
        <c:axId val="18514112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5142656"/>
        <c:crosses val="autoZero"/>
        <c:auto val="1"/>
        <c:lblAlgn val="ctr"/>
        <c:lblOffset val="100"/>
        <c:noMultiLvlLbl val="0"/>
      </c:catAx>
      <c:valAx>
        <c:axId val="18514265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514112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立案</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Sheet1!$A$2:$A$13</c:f>
              <c:strCache>
                <c:ptCount val="12"/>
                <c:pt idx="0">
                  <c:v>1月（包含旧存）</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Sheet1!$B$2:$B$13</c:f>
              <c:numCache>
                <c:formatCode>General</c:formatCode>
                <c:ptCount val="12"/>
                <c:pt idx="0">
                  <c:v>21</c:v>
                </c:pt>
                <c:pt idx="1">
                  <c:v>4</c:v>
                </c:pt>
                <c:pt idx="2">
                  <c:v>6</c:v>
                </c:pt>
                <c:pt idx="3">
                  <c:v>22</c:v>
                </c:pt>
                <c:pt idx="4">
                  <c:v>14</c:v>
                </c:pt>
                <c:pt idx="5">
                  <c:v>37</c:v>
                </c:pt>
                <c:pt idx="6">
                  <c:v>38</c:v>
                </c:pt>
                <c:pt idx="7">
                  <c:v>97</c:v>
                </c:pt>
                <c:pt idx="8">
                  <c:v>43</c:v>
                </c:pt>
                <c:pt idx="9">
                  <c:v>43</c:v>
                </c:pt>
                <c:pt idx="10">
                  <c:v>12</c:v>
                </c:pt>
                <c:pt idx="11">
                  <c:v>8</c:v>
                </c:pt>
              </c:numCache>
            </c:numRef>
          </c:val>
          <c:smooth val="0"/>
        </c:ser>
        <c:ser>
          <c:idx val="1"/>
          <c:order val="1"/>
          <c:tx>
            <c:strRef>
              <c:f>Sheet1!$C$1</c:f>
              <c:strCache>
                <c:ptCount val="1"/>
                <c:pt idx="0">
                  <c:v>结案</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Sheet1!$A$2:$A$13</c:f>
              <c:strCache>
                <c:ptCount val="12"/>
                <c:pt idx="0">
                  <c:v>1月（包含旧存）</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Sheet1!$C$2:$C$13</c:f>
              <c:numCache>
                <c:formatCode>General</c:formatCode>
                <c:ptCount val="12"/>
                <c:pt idx="0">
                  <c:v>7</c:v>
                </c:pt>
                <c:pt idx="1">
                  <c:v>3</c:v>
                </c:pt>
                <c:pt idx="2">
                  <c:v>7</c:v>
                </c:pt>
                <c:pt idx="3">
                  <c:v>22</c:v>
                </c:pt>
                <c:pt idx="4">
                  <c:v>14</c:v>
                </c:pt>
                <c:pt idx="5">
                  <c:v>31</c:v>
                </c:pt>
                <c:pt idx="6">
                  <c:v>45</c:v>
                </c:pt>
                <c:pt idx="7">
                  <c:v>71</c:v>
                </c:pt>
                <c:pt idx="8">
                  <c:v>64</c:v>
                </c:pt>
                <c:pt idx="9">
                  <c:v>29</c:v>
                </c:pt>
                <c:pt idx="10">
                  <c:v>25</c:v>
                </c:pt>
                <c:pt idx="11">
                  <c:v>13</c:v>
                </c:pt>
              </c:numCache>
            </c:numRef>
          </c:val>
          <c:smooth val="0"/>
        </c:ser>
        <c:dLbls>
          <c:showLegendKey val="0"/>
          <c:showVal val="1"/>
          <c:showCatName val="0"/>
          <c:showSerName val="0"/>
          <c:showPercent val="0"/>
          <c:showBubbleSize val="0"/>
        </c:dLbls>
        <c:marker val="1"/>
        <c:smooth val="0"/>
        <c:axId val="185172352"/>
        <c:axId val="185173888"/>
      </c:lineChart>
      <c:catAx>
        <c:axId val="18517235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5173888"/>
        <c:crosses val="autoZero"/>
        <c:auto val="1"/>
        <c:lblAlgn val="ctr"/>
        <c:lblOffset val="100"/>
        <c:noMultiLvlLbl val="0"/>
      </c:catAx>
      <c:valAx>
        <c:axId val="1851738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517235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立案</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Sheet1!$A$2:$A$13</c:f>
              <c:strCache>
                <c:ptCount val="12"/>
                <c:pt idx="0">
                  <c:v>1月（包含旧存）</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Sheet1!$B$2:$B$13</c:f>
              <c:numCache>
                <c:formatCode>General</c:formatCode>
                <c:ptCount val="12"/>
                <c:pt idx="0">
                  <c:v>15</c:v>
                </c:pt>
                <c:pt idx="1">
                  <c:v>8</c:v>
                </c:pt>
                <c:pt idx="2">
                  <c:v>8</c:v>
                </c:pt>
                <c:pt idx="3">
                  <c:v>3</c:v>
                </c:pt>
                <c:pt idx="4">
                  <c:v>4</c:v>
                </c:pt>
                <c:pt idx="5">
                  <c:v>6</c:v>
                </c:pt>
                <c:pt idx="6">
                  <c:v>7</c:v>
                </c:pt>
                <c:pt idx="7">
                  <c:v>11</c:v>
                </c:pt>
                <c:pt idx="8">
                  <c:v>7</c:v>
                </c:pt>
                <c:pt idx="9">
                  <c:v>10</c:v>
                </c:pt>
                <c:pt idx="10">
                  <c:v>5</c:v>
                </c:pt>
                <c:pt idx="11">
                  <c:v>7</c:v>
                </c:pt>
              </c:numCache>
            </c:numRef>
          </c:val>
          <c:smooth val="0"/>
        </c:ser>
        <c:ser>
          <c:idx val="1"/>
          <c:order val="1"/>
          <c:tx>
            <c:strRef>
              <c:f>Sheet1!$C$1</c:f>
              <c:strCache>
                <c:ptCount val="1"/>
                <c:pt idx="0">
                  <c:v>结案</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Sheet1!$A$2:$A$13</c:f>
              <c:strCache>
                <c:ptCount val="12"/>
                <c:pt idx="0">
                  <c:v>1月（包含旧存）</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Sheet1!$C$2:$C$13</c:f>
              <c:numCache>
                <c:formatCode>General</c:formatCode>
                <c:ptCount val="12"/>
                <c:pt idx="0">
                  <c:v>3</c:v>
                </c:pt>
                <c:pt idx="1">
                  <c:v>4</c:v>
                </c:pt>
                <c:pt idx="2">
                  <c:v>11</c:v>
                </c:pt>
                <c:pt idx="3">
                  <c:v>5</c:v>
                </c:pt>
                <c:pt idx="4">
                  <c:v>7</c:v>
                </c:pt>
                <c:pt idx="5">
                  <c:v>7</c:v>
                </c:pt>
                <c:pt idx="6">
                  <c:v>2</c:v>
                </c:pt>
                <c:pt idx="7">
                  <c:v>7</c:v>
                </c:pt>
                <c:pt idx="8">
                  <c:v>7</c:v>
                </c:pt>
                <c:pt idx="9">
                  <c:v>8</c:v>
                </c:pt>
                <c:pt idx="10">
                  <c:v>13</c:v>
                </c:pt>
                <c:pt idx="11">
                  <c:v>11</c:v>
                </c:pt>
              </c:numCache>
            </c:numRef>
          </c:val>
          <c:smooth val="0"/>
        </c:ser>
        <c:dLbls>
          <c:showLegendKey val="0"/>
          <c:showVal val="1"/>
          <c:showCatName val="0"/>
          <c:showSerName val="0"/>
          <c:showPercent val="0"/>
          <c:showBubbleSize val="0"/>
        </c:dLbls>
        <c:marker val="1"/>
        <c:smooth val="0"/>
        <c:axId val="185502336"/>
        <c:axId val="185512320"/>
      </c:lineChart>
      <c:catAx>
        <c:axId val="18550233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5512320"/>
        <c:crosses val="autoZero"/>
        <c:auto val="1"/>
        <c:lblAlgn val="ctr"/>
        <c:lblOffset val="100"/>
        <c:noMultiLvlLbl val="0"/>
      </c:catAx>
      <c:valAx>
        <c:axId val="18551232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550233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立案</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Sheet1!$A$2:$A$13</c:f>
              <c:strCache>
                <c:ptCount val="12"/>
                <c:pt idx="0">
                  <c:v>1月（包含旧存）</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Sheet1!$B$2:$B$13</c:f>
              <c:numCache>
                <c:formatCode>General</c:formatCode>
                <c:ptCount val="12"/>
                <c:pt idx="0">
                  <c:v>34</c:v>
                </c:pt>
                <c:pt idx="1">
                  <c:v>3</c:v>
                </c:pt>
                <c:pt idx="2">
                  <c:v>14</c:v>
                </c:pt>
                <c:pt idx="3">
                  <c:v>15</c:v>
                </c:pt>
                <c:pt idx="4">
                  <c:v>14</c:v>
                </c:pt>
                <c:pt idx="5">
                  <c:v>14</c:v>
                </c:pt>
                <c:pt idx="6">
                  <c:v>12</c:v>
                </c:pt>
                <c:pt idx="7">
                  <c:v>8</c:v>
                </c:pt>
                <c:pt idx="8">
                  <c:v>11</c:v>
                </c:pt>
                <c:pt idx="9">
                  <c:v>12</c:v>
                </c:pt>
                <c:pt idx="10">
                  <c:v>26</c:v>
                </c:pt>
                <c:pt idx="11">
                  <c:v>2</c:v>
                </c:pt>
              </c:numCache>
            </c:numRef>
          </c:val>
          <c:smooth val="0"/>
        </c:ser>
        <c:ser>
          <c:idx val="1"/>
          <c:order val="1"/>
          <c:tx>
            <c:strRef>
              <c:f>Sheet1!$C$1</c:f>
              <c:strCache>
                <c:ptCount val="1"/>
                <c:pt idx="0">
                  <c:v>结案</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Sheet1!$A$2:$A$13</c:f>
              <c:strCache>
                <c:ptCount val="12"/>
                <c:pt idx="0">
                  <c:v>1月（包含旧存）</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Sheet1!$C$2:$C$13</c:f>
              <c:numCache>
                <c:formatCode>General</c:formatCode>
                <c:ptCount val="12"/>
                <c:pt idx="0">
                  <c:v>11</c:v>
                </c:pt>
                <c:pt idx="1">
                  <c:v>3</c:v>
                </c:pt>
                <c:pt idx="2">
                  <c:v>7</c:v>
                </c:pt>
                <c:pt idx="3">
                  <c:v>9</c:v>
                </c:pt>
                <c:pt idx="4">
                  <c:v>15</c:v>
                </c:pt>
                <c:pt idx="5">
                  <c:v>25</c:v>
                </c:pt>
                <c:pt idx="6">
                  <c:v>18</c:v>
                </c:pt>
                <c:pt idx="7">
                  <c:v>16</c:v>
                </c:pt>
                <c:pt idx="8">
                  <c:v>12</c:v>
                </c:pt>
                <c:pt idx="9">
                  <c:v>4</c:v>
                </c:pt>
                <c:pt idx="10">
                  <c:v>17</c:v>
                </c:pt>
                <c:pt idx="11">
                  <c:v>23</c:v>
                </c:pt>
              </c:numCache>
            </c:numRef>
          </c:val>
          <c:smooth val="0"/>
        </c:ser>
        <c:dLbls>
          <c:showLegendKey val="0"/>
          <c:showVal val="1"/>
          <c:showCatName val="0"/>
          <c:showSerName val="0"/>
          <c:showPercent val="0"/>
          <c:showBubbleSize val="0"/>
        </c:dLbls>
        <c:marker val="1"/>
        <c:smooth val="0"/>
        <c:axId val="185529856"/>
        <c:axId val="185531392"/>
      </c:lineChart>
      <c:catAx>
        <c:axId val="18552985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5531392"/>
        <c:crosses val="autoZero"/>
        <c:auto val="1"/>
        <c:lblAlgn val="ctr"/>
        <c:lblOffset val="100"/>
        <c:noMultiLvlLbl val="0"/>
      </c:catAx>
      <c:valAx>
        <c:axId val="1855313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552985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立案</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Sheet1!$A$2:$A$13</c:f>
              <c:strCache>
                <c:ptCount val="12"/>
                <c:pt idx="0">
                  <c:v>1月（包含旧存）</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Sheet1!$B$2:$B$13</c:f>
              <c:numCache>
                <c:formatCode>General</c:formatCode>
                <c:ptCount val="12"/>
                <c:pt idx="0">
                  <c:v>17</c:v>
                </c:pt>
                <c:pt idx="1">
                  <c:v>9</c:v>
                </c:pt>
                <c:pt idx="2">
                  <c:v>8</c:v>
                </c:pt>
                <c:pt idx="3">
                  <c:v>14</c:v>
                </c:pt>
                <c:pt idx="4">
                  <c:v>6</c:v>
                </c:pt>
                <c:pt idx="5">
                  <c:v>9</c:v>
                </c:pt>
                <c:pt idx="6">
                  <c:v>5</c:v>
                </c:pt>
                <c:pt idx="7">
                  <c:v>12</c:v>
                </c:pt>
                <c:pt idx="8">
                  <c:v>3</c:v>
                </c:pt>
                <c:pt idx="9">
                  <c:v>10</c:v>
                </c:pt>
                <c:pt idx="10">
                  <c:v>10</c:v>
                </c:pt>
                <c:pt idx="11">
                  <c:v>4</c:v>
                </c:pt>
              </c:numCache>
            </c:numRef>
          </c:val>
          <c:smooth val="0"/>
        </c:ser>
        <c:ser>
          <c:idx val="1"/>
          <c:order val="1"/>
          <c:tx>
            <c:strRef>
              <c:f>Sheet1!$C$1</c:f>
              <c:strCache>
                <c:ptCount val="1"/>
                <c:pt idx="0">
                  <c:v>结案</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Sheet1!$A$2:$A$13</c:f>
              <c:strCache>
                <c:ptCount val="12"/>
                <c:pt idx="0">
                  <c:v>1月（包含旧存）</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Sheet1!$C$2:$C$13</c:f>
              <c:numCache>
                <c:formatCode>General</c:formatCode>
                <c:ptCount val="12"/>
                <c:pt idx="0">
                  <c:v>2</c:v>
                </c:pt>
                <c:pt idx="1">
                  <c:v>6</c:v>
                </c:pt>
                <c:pt idx="2">
                  <c:v>10</c:v>
                </c:pt>
                <c:pt idx="3">
                  <c:v>10</c:v>
                </c:pt>
                <c:pt idx="4">
                  <c:v>12</c:v>
                </c:pt>
                <c:pt idx="5">
                  <c:v>12</c:v>
                </c:pt>
                <c:pt idx="6">
                  <c:v>5</c:v>
                </c:pt>
                <c:pt idx="7">
                  <c:v>12</c:v>
                </c:pt>
                <c:pt idx="8">
                  <c:v>7</c:v>
                </c:pt>
                <c:pt idx="9">
                  <c:v>3</c:v>
                </c:pt>
                <c:pt idx="10">
                  <c:v>12</c:v>
                </c:pt>
                <c:pt idx="11">
                  <c:v>12</c:v>
                </c:pt>
              </c:numCache>
            </c:numRef>
          </c:val>
          <c:smooth val="0"/>
        </c:ser>
        <c:dLbls>
          <c:showLegendKey val="0"/>
          <c:showVal val="1"/>
          <c:showCatName val="0"/>
          <c:showSerName val="0"/>
          <c:showPercent val="0"/>
          <c:showBubbleSize val="0"/>
        </c:dLbls>
        <c:marker val="1"/>
        <c:smooth val="0"/>
        <c:axId val="169164160"/>
        <c:axId val="169170048"/>
      </c:lineChart>
      <c:catAx>
        <c:axId val="16916416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9170048"/>
        <c:crosses val="autoZero"/>
        <c:auto val="1"/>
        <c:lblAlgn val="ctr"/>
        <c:lblOffset val="100"/>
        <c:noMultiLvlLbl val="0"/>
      </c:catAx>
      <c:valAx>
        <c:axId val="16917004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916416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两级院各类型新收案件情况</a:t>
            </a:r>
          </a:p>
        </c:rich>
      </c:tx>
      <c:layout>
        <c:manualLayout>
          <c:xMode val="edge"/>
          <c:yMode val="edge"/>
          <c:x val="0.349976668222119"/>
          <c:y val="0.0179829162295819"/>
        </c:manualLayout>
      </c:layout>
      <c:overlay val="0"/>
      <c:spPr>
        <a:noFill/>
        <a:ln>
          <a:noFill/>
        </a:ln>
        <a:effectLst/>
      </c:spPr>
    </c:title>
    <c:autoTitleDeleted val="0"/>
    <c:plotArea>
      <c:layout/>
      <c:barChart>
        <c:barDir val="bar"/>
        <c:grouping val="clustered"/>
        <c:varyColors val="0"/>
        <c:ser>
          <c:idx val="0"/>
          <c:order val="0"/>
          <c:tx>
            <c:strRef>
              <c:f>Sheet1!$B$1</c:f>
              <c:strCache>
                <c:ptCount val="1"/>
                <c:pt idx="0">
                  <c:v>2016年（件）</c:v>
                </c:pt>
              </c:strCache>
            </c:strRef>
          </c:tx>
          <c:spPr>
            <a:solidFill>
              <a:schemeClr val="accent1"/>
            </a:solidFill>
            <a:ln>
              <a:noFill/>
            </a:ln>
            <a:effectLst>
              <a:outerShdw blurRad="50800" dist="38100" dir="8100000" algn="tr" rotWithShape="0">
                <a:prstClr val="black">
                  <a:alpha val="40000"/>
                </a:prst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刑事案件</c:v>
                </c:pt>
                <c:pt idx="1">
                  <c:v>民事案件</c:v>
                </c:pt>
                <c:pt idx="2">
                  <c:v>行政案件</c:v>
                </c:pt>
                <c:pt idx="3">
                  <c:v>执行案件</c:v>
                </c:pt>
                <c:pt idx="4">
                  <c:v>再审审查与审判监督案件</c:v>
                </c:pt>
                <c:pt idx="5">
                  <c:v>司法制裁案件</c:v>
                </c:pt>
                <c:pt idx="6">
                  <c:v>国家赔偿案件</c:v>
                </c:pt>
              </c:strCache>
            </c:strRef>
          </c:cat>
          <c:val>
            <c:numRef>
              <c:f>Sheet1!$B$2:$B$8</c:f>
              <c:numCache>
                <c:formatCode>General</c:formatCode>
                <c:ptCount val="7"/>
                <c:pt idx="0">
                  <c:v>214</c:v>
                </c:pt>
                <c:pt idx="1">
                  <c:v>636</c:v>
                </c:pt>
                <c:pt idx="2">
                  <c:v>1</c:v>
                </c:pt>
                <c:pt idx="3">
                  <c:v>267</c:v>
                </c:pt>
                <c:pt idx="4">
                  <c:v>8</c:v>
                </c:pt>
                <c:pt idx="5">
                  <c:v>0</c:v>
                </c:pt>
                <c:pt idx="6">
                  <c:v>0</c:v>
                </c:pt>
              </c:numCache>
            </c:numRef>
          </c:val>
        </c:ser>
        <c:ser>
          <c:idx val="1"/>
          <c:order val="1"/>
          <c:tx>
            <c:strRef>
              <c:f>Sheet1!$C$1</c:f>
              <c:strCache>
                <c:ptCount val="1"/>
                <c:pt idx="0">
                  <c:v>2017年（件）</c:v>
                </c:pt>
              </c:strCache>
            </c:strRef>
          </c:tx>
          <c:spPr>
            <a:solidFill>
              <a:schemeClr val="accent2"/>
            </a:solidFill>
            <a:ln>
              <a:noFill/>
            </a:ln>
            <a:effectLst>
              <a:outerShdw blurRad="50800" dist="38100" algn="l" rotWithShape="0">
                <a:prstClr val="black">
                  <a:alpha val="40000"/>
                </a:prst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刑事案件</c:v>
                </c:pt>
                <c:pt idx="1">
                  <c:v>民事案件</c:v>
                </c:pt>
                <c:pt idx="2">
                  <c:v>行政案件</c:v>
                </c:pt>
                <c:pt idx="3">
                  <c:v>执行案件</c:v>
                </c:pt>
                <c:pt idx="4">
                  <c:v>再审审查与审判监督案件</c:v>
                </c:pt>
                <c:pt idx="5">
                  <c:v>司法制裁案件</c:v>
                </c:pt>
                <c:pt idx="6">
                  <c:v>国家赔偿案件</c:v>
                </c:pt>
              </c:strCache>
            </c:strRef>
          </c:cat>
          <c:val>
            <c:numRef>
              <c:f>Sheet1!$C$2:$C$8</c:f>
              <c:numCache>
                <c:formatCode>General</c:formatCode>
                <c:ptCount val="7"/>
                <c:pt idx="0">
                  <c:v>186</c:v>
                </c:pt>
                <c:pt idx="1">
                  <c:v>613</c:v>
                </c:pt>
                <c:pt idx="2">
                  <c:v>4</c:v>
                </c:pt>
                <c:pt idx="3">
                  <c:v>244</c:v>
                </c:pt>
                <c:pt idx="4">
                  <c:v>19</c:v>
                </c:pt>
                <c:pt idx="5">
                  <c:v>1</c:v>
                </c:pt>
                <c:pt idx="6">
                  <c:v>1</c:v>
                </c:pt>
              </c:numCache>
            </c:numRef>
          </c:val>
        </c:ser>
        <c:dLbls>
          <c:showLegendKey val="0"/>
          <c:showVal val="1"/>
          <c:showCatName val="0"/>
          <c:showSerName val="0"/>
          <c:showPercent val="0"/>
          <c:showBubbleSize val="0"/>
        </c:dLbls>
        <c:gapWidth val="182"/>
        <c:overlap val="0"/>
        <c:axId val="454214665"/>
        <c:axId val="515907843"/>
      </c:barChart>
      <c:catAx>
        <c:axId val="454214665"/>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5907843"/>
        <c:crosses val="autoZero"/>
        <c:auto val="1"/>
        <c:lblAlgn val="ctr"/>
        <c:lblOffset val="100"/>
        <c:noMultiLvlLbl val="0"/>
      </c:catAx>
      <c:valAx>
        <c:axId val="51590784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421466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各院新收案件情况</a:t>
            </a:r>
            <a:endParaRPr altLang="en-US"/>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2016年（件）</c:v>
                </c:pt>
              </c:strCache>
            </c:strRef>
          </c:tx>
          <c:spPr>
            <a:solidFill>
              <a:schemeClr val="accent1"/>
            </a:solidFill>
            <a:ln>
              <a:noFill/>
            </a:ln>
            <a:effectLst>
              <a:outerShdw blurRad="50800" dist="38100" dir="5400000" algn="t" rotWithShape="0">
                <a:prstClr val="black">
                  <a:alpha val="40000"/>
                </a:prst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中院</c:v>
                </c:pt>
                <c:pt idx="1">
                  <c:v>白石山院</c:v>
                </c:pt>
                <c:pt idx="2">
                  <c:v>红石院</c:v>
                </c:pt>
                <c:pt idx="3">
                  <c:v>江源院</c:v>
                </c:pt>
                <c:pt idx="4">
                  <c:v>临江院</c:v>
                </c:pt>
                <c:pt idx="5">
                  <c:v>抚松院</c:v>
                </c:pt>
              </c:strCache>
            </c:strRef>
          </c:cat>
          <c:val>
            <c:numRef>
              <c:f>Sheet1!$B$2:$B$7</c:f>
              <c:numCache>
                <c:formatCode>General</c:formatCode>
                <c:ptCount val="6"/>
                <c:pt idx="0">
                  <c:v>100</c:v>
                </c:pt>
                <c:pt idx="1">
                  <c:v>189</c:v>
                </c:pt>
                <c:pt idx="2">
                  <c:v>194</c:v>
                </c:pt>
                <c:pt idx="3">
                  <c:v>194</c:v>
                </c:pt>
                <c:pt idx="4">
                  <c:v>140</c:v>
                </c:pt>
                <c:pt idx="5">
                  <c:v>332</c:v>
                </c:pt>
              </c:numCache>
            </c:numRef>
          </c:val>
        </c:ser>
        <c:ser>
          <c:idx val="1"/>
          <c:order val="1"/>
          <c:tx>
            <c:strRef>
              <c:f>Sheet1!$C$1</c:f>
              <c:strCache>
                <c:ptCount val="1"/>
                <c:pt idx="0">
                  <c:v>2017年（件）</c:v>
                </c:pt>
              </c:strCache>
            </c:strRef>
          </c:tx>
          <c:spPr>
            <a:solidFill>
              <a:schemeClr val="accent2"/>
            </a:solidFill>
            <a:ln>
              <a:noFill/>
            </a:ln>
            <a:effectLst>
              <a:outerShdw blurRad="50800" dist="38100" dir="5400000" algn="t" rotWithShape="0">
                <a:prstClr val="black">
                  <a:alpha val="40000"/>
                </a:prst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中院</c:v>
                </c:pt>
                <c:pt idx="1">
                  <c:v>白石山院</c:v>
                </c:pt>
                <c:pt idx="2">
                  <c:v>红石院</c:v>
                </c:pt>
                <c:pt idx="3">
                  <c:v>江源院</c:v>
                </c:pt>
                <c:pt idx="4">
                  <c:v>临江院</c:v>
                </c:pt>
                <c:pt idx="5">
                  <c:v>抚松院</c:v>
                </c:pt>
              </c:strCache>
            </c:strRef>
          </c:cat>
          <c:val>
            <c:numRef>
              <c:f>Sheet1!$C$2:$C$7</c:f>
              <c:numCache>
                <c:formatCode>General</c:formatCode>
                <c:ptCount val="6"/>
                <c:pt idx="0">
                  <c:v>77</c:v>
                </c:pt>
                <c:pt idx="1">
                  <c:v>100</c:v>
                </c:pt>
                <c:pt idx="2">
                  <c:v>400</c:v>
                </c:pt>
                <c:pt idx="3">
                  <c:v>142</c:v>
                </c:pt>
                <c:pt idx="4">
                  <c:v>134</c:v>
                </c:pt>
                <c:pt idx="5">
                  <c:v>211</c:v>
                </c:pt>
              </c:numCache>
            </c:numRef>
          </c:val>
        </c:ser>
        <c:dLbls>
          <c:showLegendKey val="0"/>
          <c:showVal val="1"/>
          <c:showCatName val="0"/>
          <c:showSerName val="0"/>
          <c:showPercent val="0"/>
          <c:showBubbleSize val="0"/>
        </c:dLbls>
        <c:gapWidth val="182"/>
        <c:overlap val="0"/>
        <c:axId val="918595358"/>
        <c:axId val="538565245"/>
      </c:barChart>
      <c:catAx>
        <c:axId val="918595358"/>
        <c:scaling>
          <c:orientation val="minMax"/>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8565245"/>
        <c:crosses val="autoZero"/>
        <c:auto val="1"/>
        <c:lblAlgn val="ctr"/>
        <c:lblOffset val="100"/>
        <c:noMultiLvlLbl val="0"/>
      </c:catAx>
      <c:valAx>
        <c:axId val="538565245"/>
        <c:scaling>
          <c:orientation val="minMax"/>
        </c:scaling>
        <c:delete val="0"/>
        <c:axPos val="b"/>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859535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a:t>
            </a:r>
            <a:r>
              <a:rPr altLang="en-US"/>
              <a:t>年度各类型案件结案情况</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2016年（件）</c:v>
                </c:pt>
              </c:strCache>
            </c:strRef>
          </c:tx>
          <c:spPr>
            <a:solidFill>
              <a:schemeClr val="accent1"/>
            </a:solidFill>
            <a:ln>
              <a:noFill/>
            </a:ln>
            <a:effectLst>
              <a:outerShdw blurRad="50800" dist="38100" dir="13500000" algn="br" rotWithShape="0">
                <a:prstClr val="black">
                  <a:alpha val="40000"/>
                </a:prstClr>
              </a:outerShdw>
            </a:effectLst>
          </c:spPr>
          <c:invertIfNegative val="0"/>
          <c:dLbls>
            <c:dLbl>
              <c:idx val="0"/>
              <c:layout>
                <c:manualLayout>
                  <c:x val="-0.009375"/>
                  <c:y val="0.002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1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25"/>
                  <c:y val="-0.007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1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民事案件</c:v>
                </c:pt>
                <c:pt idx="1">
                  <c:v>刑事案件</c:v>
                </c:pt>
                <c:pt idx="2">
                  <c:v>执行案件</c:v>
                </c:pt>
                <c:pt idx="3">
                  <c:v>行政案件</c:v>
                </c:pt>
                <c:pt idx="4">
                  <c:v>再审审查与审判监督案件</c:v>
                </c:pt>
                <c:pt idx="5">
                  <c:v>司法制裁案件</c:v>
                </c:pt>
                <c:pt idx="6">
                  <c:v>国家赔偿案件</c:v>
                </c:pt>
              </c:strCache>
            </c:strRef>
          </c:cat>
          <c:val>
            <c:numRef>
              <c:f>Sheet1!$B$2:$B$8</c:f>
              <c:numCache>
                <c:formatCode>General</c:formatCode>
                <c:ptCount val="7"/>
                <c:pt idx="0">
                  <c:v>673</c:v>
                </c:pt>
                <c:pt idx="1">
                  <c:v>223</c:v>
                </c:pt>
                <c:pt idx="2">
                  <c:v>262</c:v>
                </c:pt>
                <c:pt idx="3">
                  <c:v>1</c:v>
                </c:pt>
                <c:pt idx="4">
                  <c:v>8</c:v>
                </c:pt>
                <c:pt idx="5">
                  <c:v>0</c:v>
                </c:pt>
                <c:pt idx="6">
                  <c:v>0</c:v>
                </c:pt>
              </c:numCache>
            </c:numRef>
          </c:val>
        </c:ser>
        <c:ser>
          <c:idx val="1"/>
          <c:order val="1"/>
          <c:tx>
            <c:strRef>
              <c:f>Sheet1!$C$1</c:f>
              <c:strCache>
                <c:ptCount val="1"/>
                <c:pt idx="0">
                  <c:v>2017年（件）</c:v>
                </c:pt>
              </c:strCache>
            </c:strRef>
          </c:tx>
          <c:spPr>
            <a:solidFill>
              <a:schemeClr val="accent2"/>
            </a:solidFill>
            <a:ln>
              <a:noFill/>
            </a:ln>
            <a:effectLst>
              <a:outerShdw blurRad="50800" dist="38100" algn="l" rotWithShape="0">
                <a:prstClr val="black">
                  <a:alpha val="40000"/>
                </a:prstClr>
              </a:outerShdw>
            </a:effectLst>
          </c:spPr>
          <c:invertIfNegative val="0"/>
          <c:dLbls>
            <c:dLbl>
              <c:idx val="0"/>
              <c:layout>
                <c:manualLayout>
                  <c:x val="0.035625"/>
                  <c:y val="0.01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1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1875"/>
                  <c:y val="0"/>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1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民事案件</c:v>
                </c:pt>
                <c:pt idx="1">
                  <c:v>刑事案件</c:v>
                </c:pt>
                <c:pt idx="2">
                  <c:v>执行案件</c:v>
                </c:pt>
                <c:pt idx="3">
                  <c:v>行政案件</c:v>
                </c:pt>
                <c:pt idx="4">
                  <c:v>再审审查与审判监督案件</c:v>
                </c:pt>
                <c:pt idx="5">
                  <c:v>司法制裁案件</c:v>
                </c:pt>
                <c:pt idx="6">
                  <c:v>国家赔偿案件</c:v>
                </c:pt>
              </c:strCache>
            </c:strRef>
          </c:cat>
          <c:val>
            <c:numRef>
              <c:f>Sheet1!$C$2:$C$8</c:f>
              <c:numCache>
                <c:formatCode>General</c:formatCode>
                <c:ptCount val="7"/>
                <c:pt idx="0">
                  <c:v>637</c:v>
                </c:pt>
                <c:pt idx="1">
                  <c:v>185</c:v>
                </c:pt>
                <c:pt idx="2">
                  <c:v>246</c:v>
                </c:pt>
                <c:pt idx="3">
                  <c:v>4</c:v>
                </c:pt>
                <c:pt idx="4">
                  <c:v>10</c:v>
                </c:pt>
                <c:pt idx="5">
                  <c:v>1</c:v>
                </c:pt>
                <c:pt idx="6">
                  <c:v>1</c:v>
                </c:pt>
              </c:numCache>
            </c:numRef>
          </c:val>
        </c:ser>
        <c:dLbls>
          <c:showLegendKey val="0"/>
          <c:showVal val="1"/>
          <c:showCatName val="0"/>
          <c:showSerName val="0"/>
          <c:showPercent val="0"/>
          <c:showBubbleSize val="0"/>
        </c:dLbls>
        <c:gapWidth val="219"/>
        <c:overlap val="-27"/>
        <c:axId val="68852502"/>
        <c:axId val="326601489"/>
      </c:barChart>
      <c:catAx>
        <c:axId val="6885250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6601489"/>
        <c:crosses val="autoZero"/>
        <c:auto val="1"/>
        <c:lblAlgn val="ctr"/>
        <c:lblOffset val="100"/>
        <c:noMultiLvlLbl val="0"/>
      </c:catAx>
      <c:valAx>
        <c:axId val="32660148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85250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2016年（%）</c:v>
                </c:pt>
              </c:strCache>
            </c:strRef>
          </c:tx>
          <c:spPr>
            <a:solidFill>
              <a:schemeClr val="accent2"/>
            </a:solidFill>
            <a:ln w="19050">
              <a:noFill/>
            </a:ln>
            <a:effectLst/>
          </c:spPr>
          <c:invertIfNegative val="0"/>
          <c:dPt>
            <c:idx val="5"/>
            <c:invertIfNegative val="0"/>
            <c:bubble3D val="0"/>
          </c:dPt>
          <c:dLbls>
            <c:spPr>
              <a:noFill/>
              <a:ln>
                <a:noFill/>
              </a:ln>
              <a:effectLst/>
            </c:spPr>
            <c:txPr>
              <a:bodyPr rot="0" spcFirstLastPara="0" vertOverflow="ellipsis" vert="horz" wrap="square" lIns="38100" tIns="19050" rIns="38100" bIns="19050" anchor="ctr" anchorCtr="1"/>
              <a:lstStyle/>
              <a:p>
                <a:pPr>
                  <a:defRPr lang="zh-CN" sz="11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中院</c:v>
                </c:pt>
                <c:pt idx="1">
                  <c:v>红石院</c:v>
                </c:pt>
                <c:pt idx="2">
                  <c:v>白石山院</c:v>
                </c:pt>
                <c:pt idx="3">
                  <c:v>江源院</c:v>
                </c:pt>
                <c:pt idx="4">
                  <c:v>临江院</c:v>
                </c:pt>
                <c:pt idx="5">
                  <c:v>抚松院</c:v>
                </c:pt>
              </c:strCache>
            </c:strRef>
          </c:cat>
          <c:val>
            <c:numRef>
              <c:f>Sheet1!$B$2:$B$7</c:f>
              <c:numCache>
                <c:formatCode>0.00%</c:formatCode>
                <c:ptCount val="6"/>
                <c:pt idx="0">
                  <c:v>0.9406</c:v>
                </c:pt>
                <c:pt idx="1">
                  <c:v>0.9343</c:v>
                </c:pt>
                <c:pt idx="2">
                  <c:v>0.925</c:v>
                </c:pt>
                <c:pt idx="3">
                  <c:v>0.9575</c:v>
                </c:pt>
                <c:pt idx="4">
                  <c:v>0.9304</c:v>
                </c:pt>
                <c:pt idx="5">
                  <c:v>0.9425</c:v>
                </c:pt>
              </c:numCache>
            </c:numRef>
          </c:val>
        </c:ser>
        <c:ser>
          <c:idx val="1"/>
          <c:order val="1"/>
          <c:tx>
            <c:strRef>
              <c:f>Sheet1!$C$1</c:f>
              <c:strCache>
                <c:ptCount val="1"/>
                <c:pt idx="0">
                  <c:v>2017年（%）</c:v>
                </c:pt>
              </c:strCache>
            </c:strRef>
          </c:tx>
          <c:spPr>
            <a:solidFill>
              <a:schemeClr val="tx2">
                <a:alpha val="75000"/>
              </a:schemeClr>
            </a:solidFill>
            <a:ln w="19050">
              <a:solidFill>
                <a:schemeClr val="lt1"/>
              </a:solid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1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中院</c:v>
                </c:pt>
                <c:pt idx="1">
                  <c:v>红石院</c:v>
                </c:pt>
                <c:pt idx="2">
                  <c:v>白石山院</c:v>
                </c:pt>
                <c:pt idx="3">
                  <c:v>江源院</c:v>
                </c:pt>
                <c:pt idx="4">
                  <c:v>临江院</c:v>
                </c:pt>
                <c:pt idx="5">
                  <c:v>抚松院</c:v>
                </c:pt>
              </c:strCache>
            </c:strRef>
          </c:cat>
          <c:val>
            <c:numRef>
              <c:f>Sheet1!$C$2:$C$7</c:f>
              <c:numCache>
                <c:formatCode>0.00%</c:formatCode>
                <c:ptCount val="6"/>
                <c:pt idx="0">
                  <c:v>0.9639</c:v>
                </c:pt>
                <c:pt idx="1">
                  <c:v>0.9396</c:v>
                </c:pt>
                <c:pt idx="2">
                  <c:v>0.9565</c:v>
                </c:pt>
                <c:pt idx="3">
                  <c:v>0.9801</c:v>
                </c:pt>
                <c:pt idx="4">
                  <c:v>0.9517</c:v>
                </c:pt>
                <c:pt idx="5">
                  <c:v>0.9614</c:v>
                </c:pt>
              </c:numCache>
            </c:numRef>
          </c:val>
        </c:ser>
        <c:dLbls>
          <c:showLegendKey val="0"/>
          <c:showVal val="1"/>
          <c:showCatName val="0"/>
          <c:showSerName val="0"/>
          <c:showPercent val="0"/>
          <c:showBubbleSize val="0"/>
        </c:dLbls>
        <c:gapWidth val="150"/>
        <c:overlap val="0"/>
        <c:axId val="654898987"/>
        <c:axId val="871458309"/>
      </c:barChart>
      <c:catAx>
        <c:axId val="654898987"/>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1458309"/>
        <c:crosses val="autoZero"/>
        <c:auto val="1"/>
        <c:lblAlgn val="ctr"/>
        <c:lblOffset val="100"/>
        <c:noMultiLvlLbl val="0"/>
      </c:catAx>
      <c:valAx>
        <c:axId val="87145830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4898987"/>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a:t>
            </a:r>
            <a:r>
              <a:rPr altLang="en-US"/>
              <a:t>年度各类型案件未结情况</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2016年（件）</c:v>
                </c:pt>
              </c:strCache>
            </c:strRef>
          </c:tx>
          <c:spPr>
            <a:solidFill>
              <a:schemeClr val="accent1"/>
            </a:solidFill>
            <a:ln>
              <a:noFill/>
            </a:ln>
            <a:effectLst>
              <a:outerShdw blurRad="50800" dist="38100" dir="5400000" algn="t" rotWithShape="0">
                <a:prstClr val="black">
                  <a:alpha val="40000"/>
                </a:prst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民事案件</c:v>
                </c:pt>
                <c:pt idx="1">
                  <c:v>刑事案件</c:v>
                </c:pt>
                <c:pt idx="2">
                  <c:v>执行案件</c:v>
                </c:pt>
                <c:pt idx="3">
                  <c:v>再审审查与审判监督案件</c:v>
                </c:pt>
              </c:strCache>
            </c:strRef>
          </c:cat>
          <c:val>
            <c:numRef>
              <c:f>Sheet1!$B$2:$B$5</c:f>
              <c:numCache>
                <c:formatCode>General</c:formatCode>
                <c:ptCount val="4"/>
                <c:pt idx="0">
                  <c:v>52</c:v>
                </c:pt>
                <c:pt idx="1">
                  <c:v>6</c:v>
                </c:pt>
                <c:pt idx="2">
                  <c:v>19</c:v>
                </c:pt>
                <c:pt idx="3">
                  <c:v>0</c:v>
                </c:pt>
              </c:numCache>
            </c:numRef>
          </c:val>
        </c:ser>
        <c:ser>
          <c:idx val="1"/>
          <c:order val="1"/>
          <c:tx>
            <c:strRef>
              <c:f>Sheet1!$C$1</c:f>
              <c:strCache>
                <c:ptCount val="1"/>
                <c:pt idx="0">
                  <c:v>2017年（件）</c:v>
                </c:pt>
              </c:strCache>
            </c:strRef>
          </c:tx>
          <c:spPr>
            <a:solidFill>
              <a:schemeClr val="accent2"/>
            </a:solidFill>
            <a:ln>
              <a:noFill/>
            </a:ln>
            <a:effectLst>
              <a:outerShdw blurRad="50800" dist="38100" dir="10800000" algn="r" rotWithShape="0">
                <a:prstClr val="black">
                  <a:alpha val="40000"/>
                </a:prst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民事案件</c:v>
                </c:pt>
                <c:pt idx="1">
                  <c:v>刑事案件</c:v>
                </c:pt>
                <c:pt idx="2">
                  <c:v>执行案件</c:v>
                </c:pt>
                <c:pt idx="3">
                  <c:v>再审审查与审判监督案件</c:v>
                </c:pt>
              </c:strCache>
            </c:strRef>
          </c:cat>
          <c:val>
            <c:numRef>
              <c:f>Sheet1!$C$2:$C$5</c:f>
              <c:numCache>
                <c:formatCode>General</c:formatCode>
                <c:ptCount val="4"/>
                <c:pt idx="0">
                  <c:v>28</c:v>
                </c:pt>
                <c:pt idx="1">
                  <c:v>7</c:v>
                </c:pt>
                <c:pt idx="2">
                  <c:v>17</c:v>
                </c:pt>
                <c:pt idx="3">
                  <c:v>9</c:v>
                </c:pt>
              </c:numCache>
            </c:numRef>
          </c:val>
        </c:ser>
        <c:dLbls>
          <c:showLegendKey val="0"/>
          <c:showVal val="1"/>
          <c:showCatName val="0"/>
          <c:showSerName val="0"/>
          <c:showPercent val="0"/>
          <c:showBubbleSize val="0"/>
        </c:dLbls>
        <c:gapWidth val="150"/>
        <c:overlap val="0"/>
        <c:axId val="197055209"/>
        <c:axId val="17170779"/>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Sheet1!$A$2:$A$5</c15:sqref>
                        </c15:formulaRef>
                      </c:ext>
                    </c:extLst>
                    <c:strCache>
                      <c:ptCount val="4"/>
                      <c:pt idx="0">
                        <c:v>民事案件</c:v>
                      </c:pt>
                      <c:pt idx="1">
                        <c:v>刑事案件</c:v>
                      </c:pt>
                      <c:pt idx="2">
                        <c:v>执行案件</c:v>
                      </c:pt>
                      <c:pt idx="3">
                        <c:v>再审审查与审判监督案件</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9705520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170779"/>
        <c:crosses val="autoZero"/>
        <c:auto val="1"/>
        <c:lblAlgn val="ctr"/>
        <c:lblOffset val="100"/>
        <c:noMultiLvlLbl val="0"/>
      </c:catAx>
      <c:valAx>
        <c:axId val="171707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705520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a:t>
            </a:r>
            <a:r>
              <a:rPr altLang="zh-CN"/>
              <a:t>各院未结案件情况</a:t>
            </a:r>
            <a:endParaRPr altLang="zh-CN"/>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2016年（件）</c:v>
                </c:pt>
              </c:strCache>
            </c:strRef>
          </c:tx>
          <c:spPr>
            <a:solidFill>
              <a:schemeClr val="accent1"/>
            </a:solidFill>
            <a:ln>
              <a:noFill/>
            </a:ln>
            <a:effectLst>
              <a:outerShdw blurRad="50800" dist="38100" dir="10800000" algn="r" rotWithShape="0">
                <a:prstClr val="black">
                  <a:alpha val="40000"/>
                </a:prst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中院</c:v>
                </c:pt>
                <c:pt idx="1">
                  <c:v>红石院</c:v>
                </c:pt>
                <c:pt idx="2">
                  <c:v>白石山院</c:v>
                </c:pt>
                <c:pt idx="3">
                  <c:v>江源院</c:v>
                </c:pt>
                <c:pt idx="4">
                  <c:v>临江院</c:v>
                </c:pt>
                <c:pt idx="5">
                  <c:v>抚松院</c:v>
                </c:pt>
              </c:strCache>
            </c:strRef>
          </c:cat>
          <c:val>
            <c:numRef>
              <c:f>Sheet1!$B$2:$B$7</c:f>
              <c:numCache>
                <c:formatCode>General</c:formatCode>
                <c:ptCount val="6"/>
                <c:pt idx="0">
                  <c:v>6</c:v>
                </c:pt>
                <c:pt idx="1">
                  <c:v>14</c:v>
                </c:pt>
                <c:pt idx="2">
                  <c:v>15</c:v>
                </c:pt>
                <c:pt idx="3">
                  <c:v>9</c:v>
                </c:pt>
                <c:pt idx="4">
                  <c:v>11</c:v>
                </c:pt>
                <c:pt idx="5">
                  <c:v>22</c:v>
                </c:pt>
              </c:numCache>
            </c:numRef>
          </c:val>
        </c:ser>
        <c:ser>
          <c:idx val="1"/>
          <c:order val="1"/>
          <c:tx>
            <c:strRef>
              <c:f>Sheet1!$C$1</c:f>
              <c:strCache>
                <c:ptCount val="1"/>
                <c:pt idx="0">
                  <c:v>2017年（件）</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中院</c:v>
                </c:pt>
                <c:pt idx="1">
                  <c:v>红石院</c:v>
                </c:pt>
                <c:pt idx="2">
                  <c:v>白石山院</c:v>
                </c:pt>
                <c:pt idx="3">
                  <c:v>江源院</c:v>
                </c:pt>
                <c:pt idx="4">
                  <c:v>临江院</c:v>
                </c:pt>
                <c:pt idx="5">
                  <c:v>抚松院</c:v>
                </c:pt>
              </c:strCache>
            </c:strRef>
          </c:cat>
          <c:val>
            <c:numRef>
              <c:f>Sheet1!$C$2:$C$7</c:f>
              <c:numCache>
                <c:formatCode>General</c:formatCode>
                <c:ptCount val="6"/>
                <c:pt idx="0">
                  <c:v>3</c:v>
                </c:pt>
                <c:pt idx="1">
                  <c:v>25</c:v>
                </c:pt>
                <c:pt idx="2">
                  <c:v>5</c:v>
                </c:pt>
                <c:pt idx="3">
                  <c:v>3</c:v>
                </c:pt>
                <c:pt idx="4">
                  <c:v>7</c:v>
                </c:pt>
                <c:pt idx="5">
                  <c:v>9</c:v>
                </c:pt>
              </c:numCache>
            </c:numRef>
          </c:val>
        </c:ser>
        <c:dLbls>
          <c:showLegendKey val="0"/>
          <c:showVal val="1"/>
          <c:showCatName val="0"/>
          <c:showSerName val="0"/>
          <c:showPercent val="0"/>
          <c:showBubbleSize val="0"/>
        </c:dLbls>
        <c:gapWidth val="182"/>
        <c:overlap val="0"/>
        <c:axId val="728173142"/>
        <c:axId val="602690113"/>
      </c:barChart>
      <c:catAx>
        <c:axId val="728173142"/>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2690113"/>
        <c:crosses val="autoZero"/>
        <c:auto val="1"/>
        <c:lblAlgn val="ctr"/>
        <c:lblOffset val="100"/>
        <c:noMultiLvlLbl val="0"/>
      </c:catAx>
      <c:valAx>
        <c:axId val="60269011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817314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38100" dir="2700000" algn="tl" rotWithShape="0">
        <a:prstClr val="black">
          <a:alpha val="40000"/>
        </a:prstClr>
      </a:outerShdw>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2000" b="0" i="0" u="none" strike="noStrike" kern="1200" cap="none" spc="0" normalizeH="0" baseline="0">
                <a:solidFill>
                  <a:schemeClr val="tx1">
                    <a:lumMod val="65000"/>
                    <a:lumOff val="35000"/>
                  </a:schemeClr>
                </a:solidFill>
                <a:latin typeface="+mj-lt"/>
                <a:ea typeface="+mj-ea"/>
                <a:cs typeface="+mj-cs"/>
              </a:defRPr>
            </a:pPr>
            <a:r>
              <a:rPr altLang="en-US"/>
              <a:t>两级</a:t>
            </a:r>
            <a:r>
              <a:t>院调解率情况对比</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2016年（%）</c:v>
                </c:pt>
              </c:strCache>
            </c:strRef>
          </c:tx>
          <c:spPr>
            <a:solidFill>
              <a:schemeClr val="accent1"/>
            </a:solidFill>
            <a:ln>
              <a:noFill/>
            </a:ln>
            <a:effectLst/>
          </c:spPr>
          <c:invertIfNegative val="0"/>
          <c:dLbls>
            <c:spPr>
              <a:noFill/>
              <a:ln>
                <a:noFill/>
              </a:ln>
              <a:effectLst>
                <a:innerShdw blurRad="63500" dist="50800" dir="18900000">
                  <a:prstClr val="black">
                    <a:alpha val="50000"/>
                  </a:prstClr>
                </a:innerShdw>
              </a:effectLst>
            </c:spPr>
            <c:txPr>
              <a:bodyPr rot="0" spcFirstLastPara="0" vertOverflow="ellipsis" vert="horz" wrap="square" lIns="38100" tIns="19050" rIns="38100" bIns="19050" anchor="ctr" anchorCtr="1"/>
              <a:lstStyle/>
              <a:p>
                <a:pPr>
                  <a:defRPr lang="zh-CN" sz="11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Sheet1!$A$2:$A$7</c:f>
              <c:strCache>
                <c:ptCount val="6"/>
                <c:pt idx="0">
                  <c:v>中院</c:v>
                </c:pt>
                <c:pt idx="1">
                  <c:v>白石山院</c:v>
                </c:pt>
                <c:pt idx="2">
                  <c:v>江源院</c:v>
                </c:pt>
                <c:pt idx="3">
                  <c:v>临江院</c:v>
                </c:pt>
                <c:pt idx="4">
                  <c:v>抚松院</c:v>
                </c:pt>
                <c:pt idx="5">
                  <c:v>红石院</c:v>
                </c:pt>
              </c:strCache>
            </c:strRef>
          </c:cat>
          <c:val>
            <c:numRef>
              <c:f>Sheet1!$B$2:$B$7</c:f>
              <c:numCache>
                <c:formatCode>0.00%</c:formatCode>
                <c:ptCount val="6"/>
                <c:pt idx="0">
                  <c:v>0.1905</c:v>
                </c:pt>
                <c:pt idx="1">
                  <c:v>0.8519</c:v>
                </c:pt>
                <c:pt idx="2">
                  <c:v>0.5181</c:v>
                </c:pt>
                <c:pt idx="3">
                  <c:v>0.5052</c:v>
                </c:pt>
                <c:pt idx="4">
                  <c:v>0.3731</c:v>
                </c:pt>
                <c:pt idx="5">
                  <c:v>0.5402</c:v>
                </c:pt>
              </c:numCache>
            </c:numRef>
          </c:val>
        </c:ser>
        <c:ser>
          <c:idx val="1"/>
          <c:order val="1"/>
          <c:tx>
            <c:strRef>
              <c:f>Sheet1!$C$1</c:f>
              <c:strCache>
                <c:ptCount val="1"/>
                <c:pt idx="0">
                  <c:v>2017年（%）</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Sheet1!$A$2:$A$7</c:f>
              <c:strCache>
                <c:ptCount val="6"/>
                <c:pt idx="0">
                  <c:v>中院</c:v>
                </c:pt>
                <c:pt idx="1">
                  <c:v>白石山院</c:v>
                </c:pt>
                <c:pt idx="2">
                  <c:v>江源院</c:v>
                </c:pt>
                <c:pt idx="3">
                  <c:v>临江院</c:v>
                </c:pt>
                <c:pt idx="4">
                  <c:v>抚松院</c:v>
                </c:pt>
                <c:pt idx="5">
                  <c:v>红石院</c:v>
                </c:pt>
              </c:strCache>
            </c:strRef>
          </c:cat>
          <c:val>
            <c:numRef>
              <c:f>Sheet1!$C$2:$C$7</c:f>
              <c:numCache>
                <c:formatCode>0.00%</c:formatCode>
                <c:ptCount val="6"/>
                <c:pt idx="0">
                  <c:v>0.5815</c:v>
                </c:pt>
                <c:pt idx="1">
                  <c:v>0.431</c:v>
                </c:pt>
                <c:pt idx="2">
                  <c:v>0.417</c:v>
                </c:pt>
                <c:pt idx="3">
                  <c:v>0.4722</c:v>
                </c:pt>
                <c:pt idx="4">
                  <c:v>0.4404</c:v>
                </c:pt>
                <c:pt idx="5">
                  <c:v>0.8285</c:v>
                </c:pt>
              </c:numCache>
            </c:numRef>
          </c:val>
        </c:ser>
        <c:dLbls>
          <c:showLegendKey val="0"/>
          <c:showVal val="1"/>
          <c:showCatName val="0"/>
          <c:showSerName val="0"/>
          <c:showPercent val="0"/>
          <c:showBubbleSize val="0"/>
        </c:dLbls>
        <c:gapWidth val="199"/>
        <c:overlap val="0"/>
        <c:axId val="335197611"/>
        <c:axId val="164487069"/>
      </c:barChart>
      <c:catAx>
        <c:axId val="33519761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164487069"/>
        <c:crosses val="autoZero"/>
        <c:auto val="1"/>
        <c:lblAlgn val="ctr"/>
        <c:lblOffset val="100"/>
        <c:noMultiLvlLbl val="0"/>
      </c:catAx>
      <c:valAx>
        <c:axId val="164487069"/>
        <c:scaling>
          <c:orientation val="minMax"/>
        </c:scaling>
        <c:delete val="0"/>
        <c:axPos val="l"/>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5197611"/>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38100" dir="5400000" algn="t" rotWithShape="0">
        <a:prstClr val="black">
          <a:alpha val="40000"/>
        </a:prstClr>
      </a:outerShdw>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a:t>
            </a:r>
            <a:r>
              <a:rPr altLang="en-US"/>
              <a:t>年度各院平均审理天数</a:t>
            </a:r>
            <a:endParaRPr altLang="en-US"/>
          </a:p>
        </c:rich>
      </c:tx>
      <c:layout/>
      <c:overlay val="0"/>
      <c:spPr>
        <a:noFill/>
        <a:ln>
          <a:noFill/>
        </a:ln>
        <a:effectLst/>
      </c:spPr>
    </c:title>
    <c:autoTitleDeleted val="0"/>
    <c:plotArea>
      <c:layout>
        <c:manualLayout>
          <c:layoutTarget val="inner"/>
          <c:xMode val="edge"/>
          <c:yMode val="edge"/>
          <c:x val="0.0254954224127941"/>
          <c:y val="0.304690009637006"/>
          <c:w val="0.949009155174412"/>
          <c:h val="0.629200128493415"/>
        </c:manualLayout>
      </c:layout>
      <c:barChart>
        <c:barDir val="col"/>
        <c:grouping val="clustered"/>
        <c:varyColors val="0"/>
        <c:ser>
          <c:idx val="0"/>
          <c:order val="0"/>
          <c:tx>
            <c:strRef>
              <c:f>Sheet1!$B$1</c:f>
              <c:strCache>
                <c:ptCount val="1"/>
                <c:pt idx="0">
                  <c:v>包含扣除审限平均审理天数（天）</c:v>
                </c:pt>
              </c:strCache>
            </c:strRef>
          </c:tx>
          <c:spPr>
            <a:solidFill>
              <a:schemeClr val="accent1"/>
            </a:solidFill>
            <a:ln>
              <a:noFill/>
            </a:ln>
            <a:effectLst>
              <a:outerShdw blurRad="50800" dist="38100" dir="8100000" algn="tr" rotWithShape="0">
                <a:prstClr val="black">
                  <a:alpha val="40000"/>
                </a:prstClr>
              </a:outerShdw>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Sheet1!$A$2:$A$7</c:f>
              <c:strCache>
                <c:ptCount val="6"/>
                <c:pt idx="0">
                  <c:v>中院</c:v>
                </c:pt>
                <c:pt idx="1">
                  <c:v>白石山院</c:v>
                </c:pt>
                <c:pt idx="2">
                  <c:v>红石院</c:v>
                </c:pt>
                <c:pt idx="3">
                  <c:v>临江院</c:v>
                </c:pt>
                <c:pt idx="4">
                  <c:v>抚松院</c:v>
                </c:pt>
                <c:pt idx="5">
                  <c:v>江源院</c:v>
                </c:pt>
              </c:strCache>
            </c:strRef>
          </c:cat>
          <c:val>
            <c:numRef>
              <c:f>Sheet1!$B$2:$B$7</c:f>
              <c:numCache>
                <c:formatCode>General</c:formatCode>
                <c:ptCount val="6"/>
                <c:pt idx="0">
                  <c:v>74.8</c:v>
                </c:pt>
                <c:pt idx="1">
                  <c:v>80.6</c:v>
                </c:pt>
                <c:pt idx="2">
                  <c:v>28.3</c:v>
                </c:pt>
                <c:pt idx="3">
                  <c:v>69.8</c:v>
                </c:pt>
                <c:pt idx="4">
                  <c:v>79.2</c:v>
                </c:pt>
                <c:pt idx="5">
                  <c:v>53.4</c:v>
                </c:pt>
              </c:numCache>
            </c:numRef>
          </c:val>
        </c:ser>
        <c:ser>
          <c:idx val="1"/>
          <c:order val="1"/>
          <c:tx>
            <c:strRef>
              <c:f>Sheet1!$C$1</c:f>
              <c:strCache>
                <c:ptCount val="1"/>
                <c:pt idx="0">
                  <c:v>不包含扣除审限平均审理天数（天）</c:v>
                </c:pt>
              </c:strCache>
            </c:strRef>
          </c:tx>
          <c:spPr>
            <a:solidFill>
              <a:schemeClr val="accent2"/>
            </a:solidFill>
            <a:ln>
              <a:noFill/>
            </a:ln>
            <a:effectLst>
              <a:outerShdw blurRad="50800" dist="38100" dir="18900000" algn="bl" rotWithShape="0">
                <a:prstClr val="black">
                  <a:alpha val="40000"/>
                </a:prstClr>
              </a:outerShdw>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Sheet1!$A$2:$A$7</c:f>
              <c:strCache>
                <c:ptCount val="6"/>
                <c:pt idx="0">
                  <c:v>中院</c:v>
                </c:pt>
                <c:pt idx="1">
                  <c:v>白石山院</c:v>
                </c:pt>
                <c:pt idx="2">
                  <c:v>红石院</c:v>
                </c:pt>
                <c:pt idx="3">
                  <c:v>临江院</c:v>
                </c:pt>
                <c:pt idx="4">
                  <c:v>抚松院</c:v>
                </c:pt>
                <c:pt idx="5">
                  <c:v>江源院</c:v>
                </c:pt>
              </c:strCache>
            </c:strRef>
          </c:cat>
          <c:val>
            <c:numRef>
              <c:f>Sheet1!$C$2:$C$7</c:f>
              <c:numCache>
                <c:formatCode>General</c:formatCode>
                <c:ptCount val="6"/>
                <c:pt idx="0">
                  <c:v>65.1</c:v>
                </c:pt>
                <c:pt idx="1">
                  <c:v>37.6</c:v>
                </c:pt>
                <c:pt idx="2">
                  <c:v>17.6</c:v>
                </c:pt>
                <c:pt idx="3">
                  <c:v>45.3</c:v>
                </c:pt>
                <c:pt idx="4">
                  <c:v>36.7</c:v>
                </c:pt>
                <c:pt idx="5">
                  <c:v>38.2</c:v>
                </c:pt>
              </c:numCache>
            </c:numRef>
          </c:val>
        </c:ser>
        <c:dLbls>
          <c:showLegendKey val="0"/>
          <c:showVal val="0"/>
          <c:showCatName val="0"/>
          <c:showSerName val="0"/>
          <c:showPercent val="0"/>
          <c:showBubbleSize val="0"/>
        </c:dLbls>
        <c:gapWidth val="150"/>
        <c:overlap val="-25"/>
        <c:axId val="173604350"/>
        <c:axId val="710009897"/>
      </c:barChart>
      <c:catAx>
        <c:axId val="17360435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0009897"/>
        <c:crosses val="autoZero"/>
        <c:auto val="1"/>
        <c:lblAlgn val="ctr"/>
        <c:lblOffset val="100"/>
        <c:noMultiLvlLbl val="0"/>
      </c:catAx>
      <c:valAx>
        <c:axId val="710009897"/>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3604350"/>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3"/>
    <customShpInfo spid="_x0000_s1030"/>
    <customShpInfo spid="_x0000_s1031"/>
    <customShpInfo spid="_x0000_s1027"/>
    <customShpInfo spid="_x0000_s1032"/>
    <customShpInfo spid="_x0000_s1026"/>
    <customShpInfo spid="_x0000_s1028"/>
    <customShpInfo spid="_x0000_s1029"/>
    <customShpInfo spid="_x0000_s1070"/>
    <customShpInfo spid="_x0000_s1042"/>
    <customShpInfo spid="_x0000_s1056"/>
    <customShpInfo spid="_x0000_s1055"/>
    <customShpInfo spid="_x0000_s1053"/>
    <customShpInfo spid="_x0000_s1063"/>
    <customShpInfo spid="_x0000_s1057"/>
    <customShpInfo spid="_x0000_s1062"/>
    <customShpInfo spid="_x0000_s1061"/>
    <customShpInfo spid="_x0000_s1060"/>
    <customShpInfo spid="_x0000_s1059"/>
    <customShpInfo spid="_x0000_s1058"/>
    <customShpInfo spid="_x0000_s1054"/>
    <customShpInfo spid="_x0000_s1052"/>
    <customShpInfo spid="_x0000_s1071" textRotate="1"/>
    <customShpInfo spid="_x0000_s1064"/>
    <customShpInfo spid="_x0000_s1072"/>
    <customShpInfo spid="_x0000_s1065"/>
    <customShpInfo spid="_x0000_s1073"/>
    <customShpInfo spid="_x0000_s1066"/>
    <customShpInfo spid="_x0000_s1074"/>
    <customShpInfo spid="_x0000_s1067"/>
    <customShpInfo spid="_x0000_s1075"/>
    <customShpInfo spid="_x0000_s1068"/>
    <customShpInfo spid="_x0000_s1076"/>
    <customShpInfo spid="_x0000_s106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AF0542-F909-4416-AAAB-C516EF31286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996</Words>
  <Characters>5681</Characters>
  <Lines>47</Lines>
  <Paragraphs>13</Paragraphs>
  <ScaleCrop>false</ScaleCrop>
  <LinksUpToDate>false</LinksUpToDate>
  <CharactersWithSpaces>6664</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2018-01-10T08:51:00Z</dcterms:created>
  <dc:creator>think</dc:creator>
  <cp:lastModifiedBy>Lena</cp:lastModifiedBy>
  <cp:lastPrinted>2018-01-10T05:25:00Z</cp:lastPrinted>
  <dcterms:modified xsi:type="dcterms:W3CDTF">2018-01-12T07:29:40Z</dcterms:modified>
  <dc:title>吉林省高级人民法院</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