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46" w:rsidRDefault="00123E46">
      <w:pPr>
        <w:spacing w:line="560" w:lineRule="exact"/>
        <w:ind w:firstLineChars="200" w:firstLine="640"/>
        <w:jc w:val="center"/>
        <w:rPr>
          <w:rFonts w:ascii="仿宋" w:eastAsia="仿宋" w:hAnsi="仿宋"/>
          <w:sz w:val="32"/>
          <w:szCs w:val="32"/>
        </w:rPr>
      </w:pPr>
    </w:p>
    <w:p w:rsidR="00123E46" w:rsidRDefault="00123E46">
      <w:pPr>
        <w:spacing w:line="560" w:lineRule="exact"/>
        <w:rPr>
          <w:rFonts w:ascii="仿宋" w:eastAsia="仿宋" w:hAnsi="仿宋"/>
          <w:b/>
          <w:sz w:val="44"/>
          <w:szCs w:val="44"/>
        </w:rPr>
      </w:pPr>
    </w:p>
    <w:p w:rsidR="00123E46" w:rsidRDefault="00363513">
      <w:pPr>
        <w:spacing w:line="640" w:lineRule="exact"/>
        <w:jc w:val="center"/>
        <w:rPr>
          <w:rFonts w:asciiTheme="majorEastAsia" w:eastAsiaTheme="majorEastAsia" w:hAnsiTheme="majorEastAsia"/>
          <w:b/>
          <w:spacing w:val="40"/>
          <w:position w:val="6"/>
          <w:sz w:val="48"/>
          <w:szCs w:val="44"/>
        </w:rPr>
      </w:pPr>
      <w:r>
        <w:rPr>
          <w:rFonts w:asciiTheme="majorEastAsia" w:eastAsiaTheme="majorEastAsia" w:hAnsiTheme="majorEastAsia" w:hint="eastAsia"/>
          <w:b/>
          <w:spacing w:val="40"/>
          <w:position w:val="6"/>
          <w:sz w:val="48"/>
          <w:szCs w:val="44"/>
        </w:rPr>
        <w:t>长春林区中级法院</w:t>
      </w:r>
    </w:p>
    <w:p w:rsidR="00123E46" w:rsidRDefault="00123E46">
      <w:pPr>
        <w:tabs>
          <w:tab w:val="left" w:pos="4395"/>
        </w:tabs>
        <w:spacing w:line="560" w:lineRule="exact"/>
        <w:ind w:firstLineChars="400" w:firstLine="2377"/>
        <w:rPr>
          <w:rFonts w:ascii="仿宋" w:eastAsia="仿宋" w:hAnsi="仿宋"/>
          <w:b/>
          <w:spacing w:val="16"/>
          <w:position w:val="6"/>
          <w:sz w:val="56"/>
          <w:szCs w:val="32"/>
        </w:rPr>
      </w:pPr>
    </w:p>
    <w:p w:rsidR="00123E46" w:rsidRDefault="00123E46">
      <w:pPr>
        <w:tabs>
          <w:tab w:val="left" w:pos="4395"/>
        </w:tabs>
        <w:spacing w:line="560" w:lineRule="exact"/>
        <w:ind w:firstLineChars="400" w:firstLine="2377"/>
        <w:rPr>
          <w:rFonts w:ascii="仿宋" w:eastAsia="仿宋" w:hAnsi="仿宋"/>
          <w:b/>
          <w:spacing w:val="16"/>
          <w:position w:val="6"/>
          <w:sz w:val="56"/>
          <w:szCs w:val="32"/>
        </w:rPr>
      </w:pPr>
    </w:p>
    <w:p w:rsidR="00123E46" w:rsidRDefault="00123E46">
      <w:pPr>
        <w:tabs>
          <w:tab w:val="left" w:pos="4395"/>
        </w:tabs>
        <w:spacing w:line="560" w:lineRule="exact"/>
        <w:ind w:firstLineChars="400" w:firstLine="2377"/>
        <w:rPr>
          <w:rFonts w:ascii="仿宋" w:eastAsia="仿宋" w:hAnsi="仿宋"/>
          <w:b/>
          <w:spacing w:val="16"/>
          <w:position w:val="6"/>
          <w:sz w:val="56"/>
          <w:szCs w:val="32"/>
        </w:rPr>
      </w:pPr>
    </w:p>
    <w:p w:rsidR="00123E46" w:rsidRDefault="00363513">
      <w:pPr>
        <w:tabs>
          <w:tab w:val="left" w:pos="4395"/>
        </w:tabs>
        <w:spacing w:line="640" w:lineRule="exact"/>
        <w:jc w:val="center"/>
        <w:rPr>
          <w:rFonts w:asciiTheme="majorEastAsia" w:eastAsiaTheme="majorEastAsia" w:hAnsiTheme="majorEastAsia"/>
          <w:b/>
          <w:spacing w:val="26"/>
          <w:position w:val="6"/>
          <w:sz w:val="56"/>
          <w:szCs w:val="32"/>
        </w:rPr>
      </w:pPr>
      <w:r>
        <w:rPr>
          <w:rFonts w:asciiTheme="majorEastAsia" w:eastAsiaTheme="majorEastAsia" w:hAnsiTheme="majorEastAsia" w:hint="eastAsia"/>
          <w:b/>
          <w:spacing w:val="26"/>
          <w:position w:val="6"/>
          <w:sz w:val="56"/>
          <w:szCs w:val="32"/>
        </w:rPr>
        <w:t>2018年上半年</w:t>
      </w:r>
    </w:p>
    <w:p w:rsidR="00123E46" w:rsidRDefault="00123E46">
      <w:pPr>
        <w:spacing w:line="640" w:lineRule="exact"/>
        <w:ind w:firstLineChars="250" w:firstLine="1535"/>
        <w:rPr>
          <w:rFonts w:asciiTheme="majorEastAsia" w:eastAsiaTheme="majorEastAsia" w:hAnsiTheme="majorEastAsia"/>
          <w:b/>
          <w:spacing w:val="26"/>
          <w:position w:val="6"/>
          <w:sz w:val="56"/>
          <w:szCs w:val="32"/>
        </w:rPr>
      </w:pPr>
    </w:p>
    <w:p w:rsidR="00123E46" w:rsidRDefault="00363513">
      <w:pPr>
        <w:spacing w:line="640" w:lineRule="exact"/>
        <w:jc w:val="center"/>
        <w:rPr>
          <w:rFonts w:asciiTheme="majorEastAsia" w:eastAsiaTheme="majorEastAsia" w:hAnsiTheme="majorEastAsia"/>
          <w:b/>
          <w:spacing w:val="32"/>
          <w:position w:val="6"/>
          <w:sz w:val="32"/>
          <w:szCs w:val="32"/>
        </w:rPr>
      </w:pPr>
      <w:r>
        <w:rPr>
          <w:rFonts w:asciiTheme="majorEastAsia" w:eastAsiaTheme="majorEastAsia" w:hAnsiTheme="majorEastAsia" w:hint="eastAsia"/>
          <w:b/>
          <w:spacing w:val="32"/>
          <w:position w:val="6"/>
          <w:sz w:val="56"/>
          <w:szCs w:val="32"/>
        </w:rPr>
        <w:t>审判运行态势分析报告</w:t>
      </w:r>
    </w:p>
    <w:p w:rsidR="00123E46" w:rsidRDefault="00123E46">
      <w:pPr>
        <w:spacing w:line="560" w:lineRule="exact"/>
        <w:ind w:firstLineChars="200" w:firstLine="640"/>
        <w:jc w:val="center"/>
        <w:rPr>
          <w:rFonts w:ascii="仿宋" w:eastAsia="仿宋" w:hAnsi="仿宋"/>
          <w:sz w:val="32"/>
          <w:szCs w:val="32"/>
        </w:rPr>
      </w:pPr>
    </w:p>
    <w:p w:rsidR="00123E46" w:rsidRDefault="00123E46">
      <w:pPr>
        <w:spacing w:line="560" w:lineRule="exact"/>
        <w:ind w:firstLineChars="200" w:firstLine="643"/>
        <w:jc w:val="center"/>
        <w:rPr>
          <w:rFonts w:ascii="仿宋" w:eastAsia="仿宋" w:hAnsi="仿宋"/>
          <w:b/>
          <w:sz w:val="32"/>
          <w:szCs w:val="32"/>
        </w:rPr>
      </w:pPr>
    </w:p>
    <w:p w:rsidR="00123E46" w:rsidRDefault="00123E46">
      <w:pPr>
        <w:spacing w:line="560" w:lineRule="exact"/>
        <w:ind w:firstLineChars="200" w:firstLine="640"/>
        <w:jc w:val="center"/>
        <w:rPr>
          <w:rFonts w:ascii="仿宋" w:eastAsia="仿宋" w:hAnsi="仿宋"/>
          <w:sz w:val="32"/>
          <w:szCs w:val="32"/>
        </w:rPr>
      </w:pPr>
    </w:p>
    <w:p w:rsidR="00123E46" w:rsidRDefault="00123E46">
      <w:pPr>
        <w:spacing w:line="560" w:lineRule="exact"/>
        <w:ind w:firstLineChars="200" w:firstLine="640"/>
        <w:jc w:val="center"/>
        <w:rPr>
          <w:rFonts w:ascii="仿宋" w:eastAsia="仿宋" w:hAnsi="仿宋"/>
          <w:sz w:val="32"/>
          <w:szCs w:val="32"/>
        </w:rPr>
      </w:pPr>
    </w:p>
    <w:p w:rsidR="00123E46" w:rsidRDefault="00123E46">
      <w:pPr>
        <w:spacing w:line="560" w:lineRule="exact"/>
        <w:ind w:firstLineChars="200" w:firstLine="640"/>
        <w:jc w:val="center"/>
        <w:rPr>
          <w:rFonts w:ascii="仿宋" w:eastAsia="仿宋" w:hAnsi="仿宋"/>
          <w:sz w:val="32"/>
          <w:szCs w:val="32"/>
        </w:rPr>
      </w:pPr>
    </w:p>
    <w:p w:rsidR="00123E46" w:rsidRDefault="00123E46">
      <w:pPr>
        <w:spacing w:line="560" w:lineRule="exact"/>
        <w:rPr>
          <w:rFonts w:ascii="仿宋" w:eastAsia="仿宋" w:hAnsi="仿宋"/>
          <w:sz w:val="32"/>
          <w:szCs w:val="32"/>
        </w:rPr>
      </w:pPr>
    </w:p>
    <w:p w:rsidR="00123E46" w:rsidRDefault="00123E46">
      <w:pPr>
        <w:spacing w:line="560" w:lineRule="exact"/>
        <w:rPr>
          <w:rFonts w:ascii="仿宋" w:eastAsia="仿宋" w:hAnsi="仿宋"/>
          <w:sz w:val="32"/>
          <w:szCs w:val="32"/>
        </w:rPr>
      </w:pPr>
    </w:p>
    <w:p w:rsidR="00123E46" w:rsidRDefault="00123E46">
      <w:pPr>
        <w:spacing w:line="560" w:lineRule="exact"/>
        <w:ind w:firstLineChars="200" w:firstLine="640"/>
        <w:jc w:val="center"/>
        <w:rPr>
          <w:rFonts w:ascii="仿宋" w:eastAsia="仿宋" w:hAnsi="仿宋"/>
          <w:sz w:val="32"/>
          <w:szCs w:val="32"/>
        </w:rPr>
      </w:pPr>
    </w:p>
    <w:p w:rsidR="00123E46" w:rsidRDefault="00123E46">
      <w:pPr>
        <w:spacing w:line="560" w:lineRule="exact"/>
        <w:ind w:firstLineChars="200" w:firstLine="640"/>
        <w:jc w:val="center"/>
        <w:rPr>
          <w:rFonts w:ascii="仿宋" w:eastAsia="仿宋" w:hAnsi="仿宋"/>
          <w:sz w:val="32"/>
          <w:szCs w:val="32"/>
        </w:rPr>
      </w:pPr>
    </w:p>
    <w:p w:rsidR="00123E46" w:rsidRDefault="00123E46">
      <w:pPr>
        <w:spacing w:line="640" w:lineRule="exact"/>
        <w:ind w:firstLineChars="691" w:firstLine="2775"/>
        <w:rPr>
          <w:rFonts w:asciiTheme="majorEastAsia" w:eastAsiaTheme="majorEastAsia" w:hAnsiTheme="majorEastAsia"/>
          <w:b/>
          <w:sz w:val="40"/>
          <w:szCs w:val="44"/>
        </w:rPr>
      </w:pPr>
    </w:p>
    <w:p w:rsidR="00123E46" w:rsidRDefault="00363513">
      <w:pPr>
        <w:spacing w:line="640" w:lineRule="exact"/>
        <w:ind w:firstLineChars="691" w:firstLine="2775"/>
        <w:rPr>
          <w:rFonts w:asciiTheme="majorEastAsia" w:eastAsiaTheme="majorEastAsia" w:hAnsiTheme="majorEastAsia"/>
          <w:b/>
          <w:sz w:val="40"/>
          <w:szCs w:val="44"/>
        </w:rPr>
      </w:pPr>
      <w:r>
        <w:rPr>
          <w:rFonts w:asciiTheme="majorEastAsia" w:eastAsiaTheme="majorEastAsia" w:hAnsiTheme="majorEastAsia" w:hint="eastAsia"/>
          <w:b/>
          <w:sz w:val="40"/>
          <w:szCs w:val="44"/>
        </w:rPr>
        <w:t>审判管理办公室</w:t>
      </w:r>
    </w:p>
    <w:p w:rsidR="00123E46" w:rsidRDefault="00363513">
      <w:pPr>
        <w:spacing w:line="640" w:lineRule="exact"/>
        <w:ind w:firstLineChars="542" w:firstLine="2176"/>
        <w:rPr>
          <w:rFonts w:asciiTheme="majorEastAsia" w:eastAsiaTheme="majorEastAsia" w:hAnsiTheme="majorEastAsia"/>
          <w:b/>
          <w:sz w:val="40"/>
          <w:szCs w:val="44"/>
        </w:rPr>
      </w:pPr>
      <w:r>
        <w:rPr>
          <w:rFonts w:asciiTheme="majorEastAsia" w:eastAsiaTheme="majorEastAsia" w:hAnsiTheme="majorEastAsia" w:hint="eastAsia"/>
          <w:b/>
          <w:sz w:val="40"/>
          <w:szCs w:val="44"/>
        </w:rPr>
        <w:t>二○一八年六月三十日</w:t>
      </w:r>
    </w:p>
    <w:p w:rsidR="00123E46" w:rsidRDefault="00123E46">
      <w:pPr>
        <w:spacing w:line="640" w:lineRule="exact"/>
        <w:ind w:firstLineChars="700" w:firstLine="2530"/>
        <w:rPr>
          <w:rFonts w:ascii="仿宋" w:eastAsia="仿宋" w:hAnsi="仿宋"/>
          <w:b/>
          <w:sz w:val="36"/>
          <w:szCs w:val="32"/>
        </w:rPr>
      </w:pPr>
    </w:p>
    <w:p w:rsidR="00004C14" w:rsidRDefault="009006F0">
      <w:pPr>
        <w:widowControl/>
        <w:jc w:val="left"/>
        <w:rPr>
          <w:rFonts w:ascii="仿宋" w:eastAsia="仿宋" w:hAnsi="仿宋"/>
          <w:b/>
          <w:sz w:val="36"/>
          <w:szCs w:val="32"/>
        </w:rPr>
        <w:sectPr w:rsidR="00004C14" w:rsidSect="00123E4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r>
        <w:rPr>
          <w:rFonts w:ascii="仿宋" w:eastAsia="仿宋" w:hAnsi="仿宋"/>
          <w:b/>
          <w:sz w:val="36"/>
          <w:szCs w:val="32"/>
        </w:rPr>
        <w:br w:type="page"/>
      </w:r>
    </w:p>
    <w:p w:rsidR="009006F0" w:rsidRDefault="009006F0">
      <w:pPr>
        <w:widowControl/>
        <w:jc w:val="left"/>
        <w:rPr>
          <w:rFonts w:ascii="仿宋" w:eastAsia="仿宋" w:hAnsi="仿宋"/>
          <w:b/>
          <w:sz w:val="36"/>
          <w:szCs w:val="32"/>
        </w:rPr>
      </w:pPr>
    </w:p>
    <w:p w:rsidR="009006F0" w:rsidRDefault="009006F0">
      <w:pPr>
        <w:spacing w:line="560" w:lineRule="exact"/>
        <w:ind w:firstLineChars="200" w:firstLine="640"/>
        <w:rPr>
          <w:rFonts w:ascii="仿宋" w:eastAsia="仿宋" w:hAnsi="仿宋"/>
          <w:sz w:val="32"/>
          <w:szCs w:val="32"/>
        </w:rPr>
        <w:sectPr w:rsidR="009006F0" w:rsidSect="00123E46">
          <w:pgSz w:w="11906" w:h="16838"/>
          <w:pgMar w:top="1440" w:right="1800" w:bottom="1440" w:left="1800" w:header="851" w:footer="992" w:gutter="0"/>
          <w:pgNumType w:start="0"/>
          <w:cols w:space="425"/>
          <w:titlePg/>
          <w:docGrid w:type="lines" w:linePitch="312"/>
        </w:sectPr>
      </w:pP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根据数字法院业务应用系统提取的案件数据（除执行案件）和执行局提供的长春林区法院执行案件数据，我们对2018年上半年（2018年1月1日至2018年6月30日）长春林区两级法院审判执行工作情况进行了汇总分析。现通报如下：</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一、长春林区两级法院审判执行工作总体情况</w:t>
      </w:r>
    </w:p>
    <w:p w:rsidR="00123E46" w:rsidRDefault="00363513">
      <w:pPr>
        <w:spacing w:line="56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2018年上半年，两级法院旧存各类案件52件, 新收450件，旧存加新收合</w:t>
      </w:r>
      <w:r w:rsidR="007D0D99">
        <w:rPr>
          <w:rFonts w:ascii="仿宋" w:eastAsia="仿宋" w:hAnsi="仿宋" w:hint="eastAsia"/>
          <w:sz w:val="32"/>
          <w:szCs w:val="32"/>
        </w:rPr>
        <w:t>计</w:t>
      </w:r>
      <w:r>
        <w:rPr>
          <w:rFonts w:ascii="仿宋" w:eastAsia="仿宋" w:hAnsi="仿宋" w:hint="eastAsia"/>
          <w:sz w:val="32"/>
          <w:szCs w:val="32"/>
        </w:rPr>
        <w:t>502件，结案389件，结案率为77.49%，</w:t>
      </w:r>
      <w:r>
        <w:rPr>
          <w:rFonts w:ascii="仿宋" w:eastAsia="仿宋" w:hAnsi="仿宋" w:hint="eastAsia"/>
          <w:color w:val="000000" w:themeColor="text1"/>
          <w:sz w:val="32"/>
          <w:szCs w:val="32"/>
        </w:rPr>
        <w:t>未结案件113件。</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2018年上半年与2017年</w:t>
      </w:r>
      <w:r w:rsidR="005E71EB">
        <w:rPr>
          <w:rFonts w:ascii="仿宋" w:eastAsia="仿宋" w:hAnsi="仿宋" w:hint="eastAsia"/>
          <w:sz w:val="32"/>
          <w:szCs w:val="32"/>
        </w:rPr>
        <w:t>同期</w:t>
      </w:r>
      <w:r>
        <w:rPr>
          <w:rFonts w:ascii="仿宋" w:eastAsia="仿宋" w:hAnsi="仿宋" w:hint="eastAsia"/>
          <w:sz w:val="32"/>
          <w:szCs w:val="32"/>
        </w:rPr>
        <w:t>相比，旧存减少27件，下降34.18%；新收减少24件，下降5.06%；旧存加新收合计减少51件，下降9.22%； 结案减少28件，下降6.71%；结案率上升2.08个百分点； 未结案件减少23件，下降16.91%。2018年上半年两级法院案件收结存数量同比情况如图1所示：</w:t>
      </w:r>
    </w:p>
    <w:p w:rsidR="00123E46" w:rsidRDefault="00363513">
      <w:pPr>
        <w:spacing w:line="560" w:lineRule="exact"/>
        <w:ind w:firstLineChars="200" w:firstLine="562"/>
        <w:jc w:val="center"/>
        <w:rPr>
          <w:rFonts w:ascii="仿宋" w:eastAsia="仿宋" w:hAnsi="仿宋"/>
          <w:b/>
          <w:sz w:val="28"/>
          <w:szCs w:val="28"/>
        </w:rPr>
      </w:pPr>
      <w:r>
        <w:rPr>
          <w:rFonts w:ascii="仿宋" w:eastAsia="仿宋" w:hAnsi="仿宋" w:hint="eastAsia"/>
          <w:b/>
          <w:sz w:val="28"/>
          <w:szCs w:val="28"/>
        </w:rPr>
        <w:t>图1  两级法院案件收结存数量同比情况</w:t>
      </w:r>
    </w:p>
    <w:p w:rsidR="00123E46" w:rsidRDefault="00C30462">
      <w:pPr>
        <w:spacing w:line="560" w:lineRule="exact"/>
        <w:ind w:firstLineChars="200" w:firstLine="640"/>
        <w:jc w:val="center"/>
        <w:rPr>
          <w:rFonts w:ascii="仿宋" w:eastAsia="仿宋" w:hAnsi="仿宋"/>
          <w:sz w:val="28"/>
          <w:szCs w:val="28"/>
        </w:rPr>
      </w:pPr>
      <w:r w:rsidRPr="00C30462">
        <w:rPr>
          <w:sz w:val="32"/>
        </w:rPr>
        <w:pict>
          <v:shapetype id="_x0000_t202" coordsize="21600,21600" o:spt="202" path="m,l,21600r21600,l21600,xe">
            <v:stroke joinstyle="miter"/>
            <v:path gradientshapeok="t" o:connecttype="rect"/>
          </v:shapetype>
          <v:shape id="_x0000_s1029" type="#_x0000_t202" style="position:absolute;left:0;text-align:left;margin-left:175.3pt;margin-top:26.15pt;width:45.45pt;height:18.45pt;z-index:251654144" stroked="f">
            <v:textbox style="mso-next-textbox:#_x0000_s1029">
              <w:txbxContent>
                <w:p w:rsidR="00C4406B" w:rsidRDefault="00C4406B">
                  <w:r>
                    <w:rPr>
                      <w:rFonts w:hint="eastAsia"/>
                    </w:rPr>
                    <w:t>3.5%</w:t>
                  </w:r>
                </w:p>
              </w:txbxContent>
            </v:textbox>
          </v:shape>
        </w:pict>
      </w:r>
      <w:r w:rsidR="00363513">
        <w:rPr>
          <w:rFonts w:ascii="仿宋" w:eastAsia="仿宋" w:hAnsi="仿宋" w:hint="eastAsia"/>
          <w:sz w:val="28"/>
          <w:szCs w:val="28"/>
        </w:rPr>
        <w:t>（单位：件）</w:t>
      </w:r>
    </w:p>
    <w:p w:rsidR="00123E46" w:rsidRDefault="00C30462">
      <w:pPr>
        <w:rPr>
          <w:rFonts w:ascii="仿宋" w:eastAsia="仿宋" w:hAnsi="仿宋"/>
          <w:sz w:val="32"/>
          <w:szCs w:val="32"/>
        </w:rPr>
      </w:pPr>
      <w:r w:rsidRPr="00C30462">
        <w:rPr>
          <w:sz w:val="32"/>
        </w:rPr>
        <w:pict>
          <v:shape id="_x0000_s1027" type="#_x0000_t202" style="position:absolute;left:0;text-align:left;margin-left:59.05pt;margin-top:122.5pt;width:3.55pt;height:3.55pt;z-index:251661312" stroked="f">
            <v:textbox style="mso-next-textbox:#_x0000_s1027">
              <w:txbxContent>
                <w:p w:rsidR="00C4406B" w:rsidRDefault="00C4406B"/>
              </w:txbxContent>
            </v:textbox>
          </v:shape>
        </w:pict>
      </w:r>
      <w:r w:rsidR="00363513">
        <w:rPr>
          <w:rFonts w:ascii="仿宋" w:eastAsia="仿宋" w:hAnsi="仿宋"/>
          <w:noProof/>
          <w:sz w:val="32"/>
          <w:szCs w:val="32"/>
        </w:rPr>
        <w:drawing>
          <wp:inline distT="0" distB="0" distL="0" distR="0">
            <wp:extent cx="5494655" cy="27178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7E86" w:rsidRDefault="009C7E86">
      <w:pPr>
        <w:spacing w:line="560" w:lineRule="exact"/>
        <w:ind w:firstLineChars="200" w:firstLine="640"/>
        <w:rPr>
          <w:rFonts w:ascii="仿宋" w:eastAsia="仿宋" w:hAnsi="仿宋"/>
          <w:sz w:val="32"/>
          <w:szCs w:val="32"/>
        </w:rPr>
      </w:pP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2018年上半年，两级法院案件结收比（已结案件数/新收案件数）为86.44%，</w:t>
      </w:r>
      <w:r w:rsidR="00E76D71">
        <w:rPr>
          <w:rFonts w:ascii="仿宋" w:eastAsia="仿宋" w:hAnsi="仿宋" w:hint="eastAsia"/>
          <w:sz w:val="32"/>
          <w:szCs w:val="32"/>
        </w:rPr>
        <w:t>同比</w:t>
      </w:r>
      <w:r w:rsidR="00ED465E">
        <w:rPr>
          <w:rFonts w:ascii="仿宋" w:eastAsia="仿宋" w:hAnsi="仿宋" w:hint="eastAsia"/>
          <w:sz w:val="32"/>
          <w:szCs w:val="32"/>
        </w:rPr>
        <w:t>2017年上半年的87.97%，</w:t>
      </w:r>
      <w:r>
        <w:rPr>
          <w:rFonts w:ascii="仿宋" w:eastAsia="仿宋" w:hAnsi="仿宋" w:hint="eastAsia"/>
          <w:sz w:val="32"/>
          <w:szCs w:val="32"/>
        </w:rPr>
        <w:t>下降1.53个百分点。</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二、长春林区两级法院审判工作总体情况</w:t>
      </w:r>
    </w:p>
    <w:p w:rsidR="00123E46" w:rsidRDefault="00363513">
      <w:pPr>
        <w:spacing w:line="560" w:lineRule="exact"/>
        <w:ind w:firstLineChars="200" w:firstLine="640"/>
        <w:rPr>
          <w:rFonts w:ascii="仿宋" w:eastAsia="仿宋" w:hAnsi="仿宋"/>
          <w:b/>
          <w:sz w:val="30"/>
          <w:szCs w:val="30"/>
        </w:rPr>
      </w:pPr>
      <w:r>
        <w:rPr>
          <w:rFonts w:ascii="仿宋" w:eastAsia="仿宋" w:hAnsi="仿宋" w:hint="eastAsia"/>
          <w:sz w:val="32"/>
          <w:szCs w:val="32"/>
        </w:rPr>
        <w:t>2018年上半年，两级法院旧存审判类案件35件，新收335件，旧存加新收合计370件（不包括管辖案件1件，非诉保全审查6件），结案296件，未结案件74件。结案率为80%，法定审限内结案率为98.33%。</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与2017年同期相比，审判类案件旧存减少25件，下降41.67%；新收减少6件，下降1.76%；旧存加新收合计减少31件，下降7.73%；结案减少21件，下降6.62%；结案率上升0.95个百分点；未结案件减少10件，下降11.90%。2018年上半年两级法院审判类案件收结存数量同比情况如图2所示：</w:t>
      </w:r>
    </w:p>
    <w:p w:rsidR="00123E46" w:rsidRDefault="00363513">
      <w:pPr>
        <w:spacing w:line="560" w:lineRule="exact"/>
        <w:ind w:firstLineChars="200" w:firstLine="562"/>
        <w:jc w:val="center"/>
        <w:rPr>
          <w:rFonts w:ascii="仿宋" w:eastAsia="仿宋" w:hAnsi="仿宋"/>
          <w:b/>
          <w:sz w:val="28"/>
          <w:szCs w:val="28"/>
        </w:rPr>
      </w:pPr>
      <w:r>
        <w:rPr>
          <w:rFonts w:ascii="仿宋" w:eastAsia="仿宋" w:hAnsi="仿宋" w:hint="eastAsia"/>
          <w:b/>
          <w:sz w:val="28"/>
          <w:szCs w:val="28"/>
        </w:rPr>
        <w:t>图2  长春林区两级法院审判类案件收结存数量同比情况</w:t>
      </w:r>
    </w:p>
    <w:p w:rsidR="00123E46" w:rsidRDefault="00363513">
      <w:pPr>
        <w:ind w:firstLineChars="200" w:firstLine="560"/>
        <w:jc w:val="center"/>
        <w:rPr>
          <w:rFonts w:ascii="仿宋" w:eastAsia="仿宋" w:hAnsi="仿宋"/>
          <w:sz w:val="28"/>
          <w:szCs w:val="28"/>
        </w:rPr>
      </w:pPr>
      <w:r>
        <w:rPr>
          <w:rFonts w:ascii="仿宋" w:eastAsia="仿宋" w:hAnsi="仿宋" w:hint="eastAsia"/>
          <w:sz w:val="28"/>
          <w:szCs w:val="28"/>
        </w:rPr>
        <w:t>（单位：件）</w:t>
      </w:r>
    </w:p>
    <w:p w:rsidR="00123E46" w:rsidRDefault="00363513">
      <w:pPr>
        <w:ind w:firstLineChars="200" w:firstLine="640"/>
        <w:jc w:val="center"/>
        <w:rPr>
          <w:rFonts w:ascii="仿宋" w:eastAsia="仿宋" w:hAnsi="仿宋"/>
          <w:sz w:val="32"/>
          <w:szCs w:val="32"/>
        </w:rPr>
      </w:pPr>
      <w:r>
        <w:rPr>
          <w:rFonts w:ascii="仿宋" w:eastAsia="仿宋" w:hAnsi="仿宋"/>
          <w:noProof/>
          <w:sz w:val="32"/>
          <w:szCs w:val="32"/>
        </w:rPr>
        <w:drawing>
          <wp:inline distT="0" distB="0" distL="0" distR="0">
            <wp:extent cx="5140960" cy="2648585"/>
            <wp:effectExtent l="0" t="0" r="0" b="0"/>
            <wp:docPr id="1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3B2F" w:rsidRDefault="001A3B2F">
      <w:pPr>
        <w:spacing w:line="560" w:lineRule="exact"/>
        <w:ind w:firstLineChars="200" w:firstLine="640"/>
        <w:rPr>
          <w:rFonts w:ascii="仿宋" w:eastAsia="仿宋" w:hAnsi="仿宋"/>
          <w:color w:val="000000" w:themeColor="text1"/>
          <w:sz w:val="32"/>
          <w:szCs w:val="32"/>
        </w:rPr>
      </w:pP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color w:val="000000" w:themeColor="text1"/>
          <w:sz w:val="32"/>
          <w:szCs w:val="32"/>
        </w:rPr>
        <w:lastRenderedPageBreak/>
        <w:t>2018年上半年，两级法院审判类案件结案率为80%，</w:t>
      </w:r>
      <w:r w:rsidR="00506494">
        <w:rPr>
          <w:rFonts w:ascii="仿宋" w:eastAsia="仿宋" w:hAnsi="仿宋" w:hint="eastAsia"/>
          <w:color w:val="000000" w:themeColor="text1"/>
          <w:sz w:val="32"/>
          <w:szCs w:val="32"/>
        </w:rPr>
        <w:t>同比</w:t>
      </w:r>
      <w:r>
        <w:rPr>
          <w:rFonts w:ascii="仿宋" w:eastAsia="仿宋" w:hAnsi="仿宋" w:hint="eastAsia"/>
          <w:color w:val="000000" w:themeColor="text1"/>
          <w:sz w:val="32"/>
          <w:szCs w:val="32"/>
        </w:rPr>
        <w:t>2017年上半年的79.05%，上升0.95个百分点。</w:t>
      </w:r>
      <w:r>
        <w:rPr>
          <w:rFonts w:ascii="仿宋" w:eastAsia="仿宋" w:hAnsi="仿宋" w:hint="eastAsia"/>
          <w:sz w:val="32"/>
          <w:szCs w:val="32"/>
        </w:rPr>
        <w:t>中院审判类案件结案率为77.27%，白石山院审判类案件结案率为79.55%，红石院审判类案件结案率为71.91%，其他各院审判类案件结案率均超过两级法院审判类案件平均结案率。各院结案率情况如图3所示：</w:t>
      </w:r>
    </w:p>
    <w:p w:rsidR="00123E46" w:rsidRDefault="00363513">
      <w:pPr>
        <w:spacing w:line="560" w:lineRule="exact"/>
        <w:jc w:val="center"/>
        <w:rPr>
          <w:rFonts w:ascii="仿宋" w:eastAsia="仿宋" w:hAnsi="仿宋"/>
          <w:b/>
          <w:sz w:val="28"/>
          <w:szCs w:val="28"/>
        </w:rPr>
      </w:pPr>
      <w:r>
        <w:rPr>
          <w:rFonts w:ascii="仿宋" w:eastAsia="仿宋" w:hAnsi="仿宋" w:hint="eastAsia"/>
          <w:b/>
          <w:sz w:val="28"/>
          <w:szCs w:val="28"/>
        </w:rPr>
        <w:t>图3  各院结案率情况</w:t>
      </w:r>
    </w:p>
    <w:p w:rsidR="00123E46" w:rsidRDefault="00363513">
      <w:pPr>
        <w:spacing w:line="56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46976" behindDoc="0" locked="0" layoutInCell="1" allowOverlap="1">
            <wp:simplePos x="0" y="0"/>
            <wp:positionH relativeFrom="column">
              <wp:posOffset>116205</wp:posOffset>
            </wp:positionH>
            <wp:positionV relativeFrom="paragraph">
              <wp:posOffset>137795</wp:posOffset>
            </wp:positionV>
            <wp:extent cx="5374005" cy="2889885"/>
            <wp:effectExtent l="0" t="0" r="0" b="0"/>
            <wp:wrapNone/>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123E46" w:rsidRDefault="00123E46">
      <w:pPr>
        <w:spacing w:line="560" w:lineRule="exact"/>
        <w:ind w:firstLineChars="200" w:firstLine="640"/>
        <w:rPr>
          <w:rFonts w:ascii="仿宋" w:eastAsia="仿宋" w:hAnsi="仿宋"/>
          <w:sz w:val="32"/>
          <w:szCs w:val="32"/>
        </w:rPr>
      </w:pPr>
    </w:p>
    <w:p w:rsidR="00123E46" w:rsidRDefault="00123E46">
      <w:pPr>
        <w:spacing w:line="560" w:lineRule="exact"/>
        <w:ind w:firstLineChars="200" w:firstLine="640"/>
        <w:rPr>
          <w:rFonts w:ascii="仿宋" w:eastAsia="仿宋" w:hAnsi="仿宋"/>
          <w:sz w:val="32"/>
          <w:szCs w:val="32"/>
        </w:rPr>
      </w:pPr>
    </w:p>
    <w:p w:rsidR="00123E46" w:rsidRDefault="00123E46">
      <w:pPr>
        <w:spacing w:line="560" w:lineRule="exact"/>
        <w:ind w:firstLineChars="200" w:firstLine="640"/>
        <w:rPr>
          <w:rFonts w:ascii="仿宋" w:eastAsia="仿宋" w:hAnsi="仿宋"/>
          <w:sz w:val="32"/>
          <w:szCs w:val="32"/>
        </w:rPr>
      </w:pPr>
    </w:p>
    <w:p w:rsidR="00123E46" w:rsidRDefault="00123E46">
      <w:pPr>
        <w:spacing w:line="560" w:lineRule="exact"/>
        <w:ind w:firstLineChars="200" w:firstLine="640"/>
        <w:rPr>
          <w:rFonts w:ascii="仿宋" w:eastAsia="仿宋" w:hAnsi="仿宋"/>
          <w:sz w:val="32"/>
          <w:szCs w:val="32"/>
        </w:rPr>
      </w:pPr>
    </w:p>
    <w:p w:rsidR="00123E46" w:rsidRDefault="00123E46">
      <w:pPr>
        <w:spacing w:line="560" w:lineRule="exact"/>
        <w:ind w:firstLineChars="200" w:firstLine="640"/>
        <w:rPr>
          <w:rFonts w:ascii="仿宋" w:eastAsia="仿宋" w:hAnsi="仿宋"/>
          <w:sz w:val="32"/>
          <w:szCs w:val="32"/>
        </w:rPr>
      </w:pPr>
    </w:p>
    <w:p w:rsidR="00123E46" w:rsidRDefault="00123E46">
      <w:pPr>
        <w:spacing w:line="560" w:lineRule="exact"/>
        <w:ind w:firstLineChars="200" w:firstLine="640"/>
        <w:rPr>
          <w:rFonts w:ascii="仿宋" w:eastAsia="仿宋" w:hAnsi="仿宋"/>
          <w:sz w:val="32"/>
          <w:szCs w:val="32"/>
        </w:rPr>
      </w:pPr>
    </w:p>
    <w:p w:rsidR="00123E46" w:rsidRDefault="00123E46">
      <w:pPr>
        <w:spacing w:line="560" w:lineRule="exact"/>
        <w:ind w:firstLineChars="200" w:firstLine="640"/>
        <w:rPr>
          <w:rFonts w:ascii="仿宋" w:eastAsia="仿宋" w:hAnsi="仿宋"/>
          <w:sz w:val="32"/>
          <w:szCs w:val="32"/>
        </w:rPr>
      </w:pPr>
    </w:p>
    <w:p w:rsidR="00123E46" w:rsidRDefault="00123E46">
      <w:pPr>
        <w:spacing w:line="560" w:lineRule="exact"/>
        <w:ind w:firstLineChars="200" w:firstLine="640"/>
        <w:rPr>
          <w:rFonts w:ascii="仿宋" w:eastAsia="仿宋" w:hAnsi="仿宋"/>
          <w:sz w:val="32"/>
          <w:szCs w:val="32"/>
        </w:rPr>
      </w:pP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2018年上半年，两级法院审判类案件结收比（已结案件数/新收案件数）为88.36%，</w:t>
      </w:r>
      <w:r w:rsidR="009A1B53">
        <w:rPr>
          <w:rFonts w:ascii="仿宋" w:eastAsia="仿宋" w:hAnsi="仿宋" w:hint="eastAsia"/>
          <w:sz w:val="32"/>
          <w:szCs w:val="32"/>
        </w:rPr>
        <w:t>同</w:t>
      </w:r>
      <w:r>
        <w:rPr>
          <w:rFonts w:ascii="仿宋" w:eastAsia="仿宋" w:hAnsi="仿宋" w:hint="eastAsia"/>
          <w:sz w:val="32"/>
          <w:szCs w:val="32"/>
        </w:rPr>
        <w:t>比2017年上半年的92.96%，下降4.6个百分点。</w:t>
      </w:r>
    </w:p>
    <w:p w:rsidR="00123E46" w:rsidRDefault="00363513">
      <w:pPr>
        <w:spacing w:line="56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2018年上半年，两级法院审判类案件平均审理天数为31.9天（包含扣除审限天数的平均审理天数为39.3天），</w:t>
      </w:r>
      <w:r w:rsidR="00B920C1">
        <w:rPr>
          <w:rFonts w:ascii="仿宋" w:eastAsia="仿宋" w:hAnsi="仿宋" w:hint="eastAsia"/>
          <w:color w:val="000000" w:themeColor="text1"/>
          <w:sz w:val="32"/>
          <w:szCs w:val="32"/>
        </w:rPr>
        <w:t>同</w:t>
      </w:r>
      <w:r>
        <w:rPr>
          <w:rFonts w:ascii="仿宋" w:eastAsia="仿宋" w:hAnsi="仿宋" w:hint="eastAsia"/>
          <w:color w:val="000000" w:themeColor="text1"/>
          <w:sz w:val="32"/>
          <w:szCs w:val="32"/>
        </w:rPr>
        <w:t>比2017年上半年的41天（包含扣除审限天数的平均审理天数为77.1天），减少9.1天。各主要类型案件平均审理时长为：民事一审案件32.8天，民事二审案件41天，刑事一审</w:t>
      </w:r>
      <w:r>
        <w:rPr>
          <w:rFonts w:ascii="仿宋" w:eastAsia="仿宋" w:hAnsi="仿宋" w:hint="eastAsia"/>
          <w:color w:val="000000" w:themeColor="text1"/>
          <w:sz w:val="32"/>
          <w:szCs w:val="32"/>
        </w:rPr>
        <w:lastRenderedPageBreak/>
        <w:t>案件20.8天，刑事二审案件25.8天，行政一审71.1天，行政二审案件17天，审查监督案件97天（均未包含扣除审限天数）。两级法院审判类案件平均审理时长如图4所示：</w:t>
      </w:r>
    </w:p>
    <w:p w:rsidR="00123E46" w:rsidRDefault="00363513">
      <w:pPr>
        <w:spacing w:line="560" w:lineRule="exact"/>
        <w:jc w:val="center"/>
        <w:rPr>
          <w:rFonts w:ascii="仿宋" w:eastAsia="仿宋" w:hAnsi="仿宋"/>
          <w:b/>
          <w:sz w:val="28"/>
          <w:szCs w:val="28"/>
        </w:rPr>
      </w:pPr>
      <w:r>
        <w:rPr>
          <w:rFonts w:ascii="仿宋" w:eastAsia="仿宋" w:hAnsi="仿宋" w:hint="eastAsia"/>
          <w:b/>
          <w:sz w:val="28"/>
          <w:szCs w:val="28"/>
        </w:rPr>
        <w:t>图4  两级法院主要类型案件平均审理时长</w:t>
      </w:r>
    </w:p>
    <w:p w:rsidR="00123E46" w:rsidRDefault="00363513">
      <w:pPr>
        <w:jc w:val="center"/>
        <w:rPr>
          <w:rFonts w:ascii="仿宋" w:eastAsia="仿宋" w:hAnsi="仿宋"/>
          <w:sz w:val="28"/>
          <w:szCs w:val="28"/>
        </w:rPr>
      </w:pPr>
      <w:r>
        <w:rPr>
          <w:rFonts w:ascii="仿宋" w:eastAsia="仿宋" w:hAnsi="仿宋" w:hint="eastAsia"/>
          <w:sz w:val="28"/>
          <w:szCs w:val="28"/>
        </w:rPr>
        <w:t>（单位：天）</w:t>
      </w:r>
    </w:p>
    <w:p w:rsidR="00123E46" w:rsidRDefault="00363513">
      <w:pPr>
        <w:jc w:val="center"/>
        <w:rPr>
          <w:rFonts w:ascii="仿宋" w:eastAsia="仿宋" w:hAnsi="仿宋"/>
          <w:sz w:val="32"/>
          <w:szCs w:val="32"/>
        </w:rPr>
      </w:pPr>
      <w:r>
        <w:rPr>
          <w:rFonts w:ascii="仿宋" w:eastAsia="仿宋" w:hAnsi="仿宋"/>
          <w:noProof/>
          <w:sz w:val="32"/>
          <w:szCs w:val="32"/>
        </w:rPr>
        <w:drawing>
          <wp:inline distT="0" distB="0" distL="0" distR="0">
            <wp:extent cx="4907915" cy="2665095"/>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三、两级法院新收审判类案件情况</w:t>
      </w:r>
    </w:p>
    <w:p w:rsidR="00123E46" w:rsidRDefault="00363513">
      <w:pPr>
        <w:spacing w:line="56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2018年上半年，两级法院共新收审判类案件335件，与2017年</w:t>
      </w:r>
      <w:r w:rsidR="005E71EB">
        <w:rPr>
          <w:rFonts w:ascii="仿宋" w:eastAsia="仿宋" w:hAnsi="仿宋" w:hint="eastAsia"/>
          <w:sz w:val="32"/>
          <w:szCs w:val="32"/>
        </w:rPr>
        <w:t>同期</w:t>
      </w:r>
      <w:r>
        <w:rPr>
          <w:rFonts w:ascii="仿宋" w:eastAsia="仿宋" w:hAnsi="仿宋" w:hint="eastAsia"/>
          <w:sz w:val="32"/>
          <w:szCs w:val="32"/>
        </w:rPr>
        <w:t>新收</w:t>
      </w:r>
      <w:r w:rsidR="006933D1">
        <w:rPr>
          <w:rFonts w:ascii="仿宋" w:eastAsia="仿宋" w:hAnsi="仿宋" w:hint="eastAsia"/>
          <w:sz w:val="32"/>
          <w:szCs w:val="32"/>
        </w:rPr>
        <w:t>的</w:t>
      </w:r>
      <w:r>
        <w:rPr>
          <w:rFonts w:ascii="仿宋" w:eastAsia="仿宋" w:hAnsi="仿宋" w:hint="eastAsia"/>
          <w:sz w:val="32"/>
          <w:szCs w:val="32"/>
        </w:rPr>
        <w:t>341件相比，减少6件，下降1.76%。</w:t>
      </w:r>
      <w:r>
        <w:rPr>
          <w:rFonts w:ascii="仿宋" w:eastAsia="仿宋" w:hAnsi="仿宋" w:hint="eastAsia"/>
          <w:color w:val="000000" w:themeColor="text1"/>
          <w:sz w:val="32"/>
          <w:szCs w:val="32"/>
        </w:rPr>
        <w:t>其中，新收一审案件299件（民事211件，刑事77件，行政11件），同比2017年上半年的304件，下降1.64%；新收二审案件31件（民事23件，刑事5件，行政3件），同比2017年上半年的27件，上升14.81%；新收再审案件2件（民事1件，刑事1件），同比2017年上半年的1件，上升100%。</w:t>
      </w:r>
    </w:p>
    <w:p w:rsidR="00123E46" w:rsidRDefault="00363513">
      <w:pPr>
        <w:spacing w:line="560" w:lineRule="exact"/>
        <w:ind w:firstLineChars="196" w:firstLine="630"/>
        <w:rPr>
          <w:rFonts w:ascii="仿宋" w:eastAsia="仿宋" w:hAnsi="仿宋"/>
          <w:b/>
          <w:sz w:val="32"/>
          <w:szCs w:val="32"/>
        </w:rPr>
      </w:pPr>
      <w:r>
        <w:rPr>
          <w:rFonts w:ascii="仿宋" w:eastAsia="仿宋" w:hAnsi="仿宋" w:hint="eastAsia"/>
          <w:b/>
          <w:sz w:val="32"/>
          <w:szCs w:val="32"/>
        </w:rPr>
        <w:t>(一) 各院新收审判类案件占两级法院比例情况</w:t>
      </w:r>
    </w:p>
    <w:p w:rsidR="00123E46" w:rsidRDefault="00363513" w:rsidP="00876AE8">
      <w:pPr>
        <w:spacing w:line="560" w:lineRule="exact"/>
        <w:ind w:firstLineChars="200" w:firstLine="640"/>
        <w:rPr>
          <w:rFonts w:ascii="仿宋" w:eastAsia="仿宋" w:hAnsi="仿宋"/>
          <w:sz w:val="32"/>
          <w:szCs w:val="32"/>
        </w:rPr>
      </w:pPr>
      <w:r>
        <w:rPr>
          <w:rFonts w:ascii="仿宋" w:eastAsia="仿宋" w:hAnsi="仿宋" w:hint="eastAsia"/>
          <w:sz w:val="32"/>
          <w:szCs w:val="32"/>
        </w:rPr>
        <w:t>按新收案件占两级法院新收案件的比例排序，</w:t>
      </w:r>
      <w:r w:rsidR="006933D1">
        <w:rPr>
          <w:rFonts w:ascii="仿宋" w:eastAsia="仿宋" w:hAnsi="仿宋" w:hint="eastAsia"/>
          <w:sz w:val="32"/>
          <w:szCs w:val="32"/>
        </w:rPr>
        <w:t>由高到低分别</w:t>
      </w:r>
      <w:r>
        <w:rPr>
          <w:rFonts w:ascii="仿宋" w:eastAsia="仿宋" w:hAnsi="仿宋" w:hint="eastAsia"/>
          <w:sz w:val="32"/>
          <w:szCs w:val="32"/>
        </w:rPr>
        <w:t>为</w:t>
      </w:r>
      <w:r w:rsidR="00FC2782">
        <w:rPr>
          <w:rFonts w:ascii="仿宋" w:eastAsia="仿宋" w:hAnsi="仿宋" w:hint="eastAsia"/>
          <w:sz w:val="32"/>
          <w:szCs w:val="32"/>
        </w:rPr>
        <w:t>：</w:t>
      </w:r>
      <w:r>
        <w:rPr>
          <w:rFonts w:ascii="仿宋" w:eastAsia="仿宋" w:hAnsi="仿宋" w:hint="eastAsia"/>
          <w:sz w:val="32"/>
          <w:szCs w:val="32"/>
        </w:rPr>
        <w:t>抚松院25.37%、红石院21.79%、江源院15.82%、临江院12.84%、中院12.24%、白石山院11.94%。各院新收</w:t>
      </w:r>
      <w:r>
        <w:rPr>
          <w:rFonts w:ascii="仿宋" w:eastAsia="仿宋" w:hAnsi="仿宋" w:hint="eastAsia"/>
          <w:sz w:val="32"/>
          <w:szCs w:val="32"/>
        </w:rPr>
        <w:lastRenderedPageBreak/>
        <w:t>审判类案件占两级法院比例情况如图5所示：</w:t>
      </w:r>
    </w:p>
    <w:p w:rsidR="00E80CC0" w:rsidRDefault="00E80CC0" w:rsidP="00876AE8">
      <w:pPr>
        <w:spacing w:line="560" w:lineRule="exact"/>
        <w:ind w:firstLineChars="200" w:firstLine="640"/>
        <w:rPr>
          <w:rFonts w:ascii="仿宋" w:eastAsia="仿宋" w:hAnsi="仿宋"/>
          <w:sz w:val="32"/>
          <w:szCs w:val="32"/>
        </w:rPr>
      </w:pPr>
    </w:p>
    <w:p w:rsidR="00123E46" w:rsidRDefault="00363513">
      <w:pPr>
        <w:ind w:left="640"/>
        <w:jc w:val="center"/>
        <w:rPr>
          <w:rFonts w:ascii="仿宋" w:eastAsia="仿宋" w:hAnsi="仿宋"/>
          <w:b/>
          <w:sz w:val="28"/>
          <w:szCs w:val="28"/>
        </w:rPr>
      </w:pPr>
      <w:r>
        <w:rPr>
          <w:rFonts w:ascii="仿宋" w:eastAsia="仿宋" w:hAnsi="仿宋" w:hint="eastAsia"/>
          <w:b/>
          <w:sz w:val="28"/>
          <w:szCs w:val="28"/>
        </w:rPr>
        <w:t>图5  各院新收审判类案件占两级法院比例情况</w:t>
      </w:r>
    </w:p>
    <w:p w:rsidR="00123E46" w:rsidRDefault="00363513">
      <w:pPr>
        <w:ind w:left="640"/>
        <w:rPr>
          <w:rFonts w:ascii="仿宋" w:eastAsia="仿宋" w:hAnsi="仿宋"/>
          <w:sz w:val="32"/>
          <w:szCs w:val="32"/>
        </w:rPr>
      </w:pPr>
      <w:r>
        <w:rPr>
          <w:rFonts w:ascii="仿宋" w:eastAsia="仿宋" w:hAnsi="仿宋" w:hint="eastAsia"/>
          <w:noProof/>
          <w:sz w:val="32"/>
          <w:szCs w:val="32"/>
        </w:rPr>
        <w:drawing>
          <wp:inline distT="0" distB="0" distL="0" distR="0">
            <wp:extent cx="4751070" cy="281178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（二）各院新收审判类案件同比情况</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2018年上半年与2017年</w:t>
      </w:r>
      <w:r w:rsidR="00203D07">
        <w:rPr>
          <w:rFonts w:ascii="仿宋" w:eastAsia="仿宋" w:hAnsi="仿宋" w:hint="eastAsia"/>
          <w:sz w:val="32"/>
          <w:szCs w:val="32"/>
        </w:rPr>
        <w:t>同期</w:t>
      </w:r>
      <w:r>
        <w:rPr>
          <w:rFonts w:ascii="仿宋" w:eastAsia="仿宋" w:hAnsi="仿宋" w:hint="eastAsia"/>
          <w:sz w:val="32"/>
          <w:szCs w:val="32"/>
        </w:rPr>
        <w:t>相比，各院新收审判类案件表现出“三升三降</w:t>
      </w:r>
      <w:r>
        <w:rPr>
          <w:rFonts w:ascii="仿宋" w:eastAsia="仿宋" w:hAnsi="仿宋"/>
          <w:sz w:val="32"/>
          <w:szCs w:val="32"/>
        </w:rPr>
        <w:t>”</w:t>
      </w:r>
      <w:r>
        <w:rPr>
          <w:rFonts w:ascii="仿宋" w:eastAsia="仿宋" w:hAnsi="仿宋" w:hint="eastAsia"/>
          <w:sz w:val="32"/>
          <w:szCs w:val="32"/>
        </w:rPr>
        <w:t>的特点，中院、临江院、抚松院新收案件</w:t>
      </w:r>
      <w:r w:rsidR="007D0D99">
        <w:rPr>
          <w:rFonts w:ascii="仿宋" w:eastAsia="仿宋" w:hAnsi="仿宋" w:hint="eastAsia"/>
          <w:sz w:val="32"/>
          <w:szCs w:val="32"/>
        </w:rPr>
        <w:t>数</w:t>
      </w:r>
      <w:r>
        <w:rPr>
          <w:rFonts w:ascii="仿宋" w:eastAsia="仿宋" w:hAnsi="仿宋" w:hint="eastAsia"/>
          <w:sz w:val="32"/>
          <w:szCs w:val="32"/>
        </w:rPr>
        <w:t>有所上升，江源院、白石山院、红石院新收案件有所下降。各院新收审判类案件同比情况如图6所示：</w:t>
      </w:r>
    </w:p>
    <w:p w:rsidR="00E80CC0" w:rsidRDefault="00E80CC0">
      <w:pPr>
        <w:spacing w:line="560" w:lineRule="exact"/>
        <w:ind w:firstLineChars="200" w:firstLine="640"/>
        <w:rPr>
          <w:rFonts w:ascii="仿宋" w:eastAsia="仿宋" w:hAnsi="仿宋"/>
          <w:sz w:val="32"/>
          <w:szCs w:val="32"/>
        </w:rPr>
      </w:pPr>
    </w:p>
    <w:p w:rsidR="00E80CC0" w:rsidRDefault="00E80CC0">
      <w:pPr>
        <w:spacing w:line="560" w:lineRule="exact"/>
        <w:ind w:firstLineChars="200" w:firstLine="640"/>
        <w:rPr>
          <w:rFonts w:ascii="仿宋" w:eastAsia="仿宋" w:hAnsi="仿宋"/>
          <w:sz w:val="32"/>
          <w:szCs w:val="32"/>
        </w:rPr>
      </w:pPr>
    </w:p>
    <w:p w:rsidR="00E80CC0" w:rsidRDefault="00E80CC0">
      <w:pPr>
        <w:spacing w:line="560" w:lineRule="exact"/>
        <w:ind w:firstLineChars="200" w:firstLine="640"/>
        <w:rPr>
          <w:rFonts w:ascii="仿宋" w:eastAsia="仿宋" w:hAnsi="仿宋"/>
          <w:sz w:val="32"/>
          <w:szCs w:val="32"/>
        </w:rPr>
      </w:pPr>
    </w:p>
    <w:p w:rsidR="00E80CC0" w:rsidRDefault="00E80CC0">
      <w:pPr>
        <w:spacing w:line="560" w:lineRule="exact"/>
        <w:ind w:firstLineChars="200" w:firstLine="640"/>
        <w:rPr>
          <w:rFonts w:ascii="仿宋" w:eastAsia="仿宋" w:hAnsi="仿宋"/>
          <w:sz w:val="32"/>
          <w:szCs w:val="32"/>
        </w:rPr>
      </w:pPr>
    </w:p>
    <w:p w:rsidR="00E80CC0" w:rsidRDefault="00E80CC0">
      <w:pPr>
        <w:spacing w:line="560" w:lineRule="exact"/>
        <w:ind w:firstLineChars="200" w:firstLine="640"/>
        <w:rPr>
          <w:rFonts w:ascii="仿宋" w:eastAsia="仿宋" w:hAnsi="仿宋"/>
          <w:sz w:val="32"/>
          <w:szCs w:val="32"/>
        </w:rPr>
      </w:pPr>
    </w:p>
    <w:p w:rsidR="00E80CC0" w:rsidRDefault="00E80CC0">
      <w:pPr>
        <w:spacing w:line="560" w:lineRule="exact"/>
        <w:ind w:firstLineChars="200" w:firstLine="640"/>
        <w:rPr>
          <w:rFonts w:ascii="仿宋" w:eastAsia="仿宋" w:hAnsi="仿宋"/>
          <w:sz w:val="32"/>
          <w:szCs w:val="32"/>
        </w:rPr>
      </w:pPr>
    </w:p>
    <w:p w:rsidR="00E80CC0" w:rsidRDefault="00E80CC0">
      <w:pPr>
        <w:spacing w:line="560" w:lineRule="exact"/>
        <w:ind w:firstLineChars="200" w:firstLine="640"/>
        <w:rPr>
          <w:rFonts w:ascii="仿宋" w:eastAsia="仿宋" w:hAnsi="仿宋"/>
          <w:sz w:val="32"/>
          <w:szCs w:val="32"/>
        </w:rPr>
      </w:pPr>
    </w:p>
    <w:p w:rsidR="00E80CC0" w:rsidRDefault="00E80CC0">
      <w:pPr>
        <w:spacing w:line="560" w:lineRule="exact"/>
        <w:ind w:firstLineChars="200" w:firstLine="640"/>
        <w:rPr>
          <w:rFonts w:ascii="仿宋" w:eastAsia="仿宋" w:hAnsi="仿宋"/>
          <w:sz w:val="32"/>
          <w:szCs w:val="32"/>
        </w:rPr>
      </w:pPr>
    </w:p>
    <w:p w:rsidR="00E80CC0" w:rsidRDefault="00E80CC0">
      <w:pPr>
        <w:spacing w:line="560" w:lineRule="exact"/>
        <w:ind w:firstLineChars="200" w:firstLine="640"/>
        <w:rPr>
          <w:rFonts w:ascii="仿宋" w:eastAsia="仿宋" w:hAnsi="仿宋"/>
          <w:sz w:val="32"/>
          <w:szCs w:val="32"/>
        </w:rPr>
      </w:pPr>
    </w:p>
    <w:p w:rsidR="00123E46" w:rsidRDefault="00363513">
      <w:pPr>
        <w:ind w:firstLineChars="200" w:firstLine="562"/>
        <w:jc w:val="center"/>
        <w:rPr>
          <w:rFonts w:ascii="仿宋" w:eastAsia="仿宋" w:hAnsi="仿宋"/>
          <w:b/>
          <w:sz w:val="28"/>
          <w:szCs w:val="28"/>
        </w:rPr>
      </w:pPr>
      <w:r>
        <w:rPr>
          <w:rFonts w:ascii="仿宋" w:eastAsia="仿宋" w:hAnsi="仿宋" w:hint="eastAsia"/>
          <w:b/>
          <w:sz w:val="28"/>
          <w:szCs w:val="28"/>
        </w:rPr>
        <w:t>图6 各院新收审判类案件同比情况 （单位：件）</w:t>
      </w:r>
    </w:p>
    <w:p w:rsidR="00123E46" w:rsidRDefault="00363513">
      <w:pPr>
        <w:ind w:firstLineChars="200" w:firstLine="640"/>
        <w:rPr>
          <w:rFonts w:ascii="仿宋" w:eastAsia="仿宋" w:hAnsi="仿宋"/>
          <w:sz w:val="32"/>
          <w:szCs w:val="32"/>
        </w:rPr>
      </w:pPr>
      <w:r>
        <w:rPr>
          <w:rFonts w:ascii="仿宋" w:eastAsia="仿宋" w:hAnsi="仿宋"/>
          <w:noProof/>
          <w:sz w:val="32"/>
          <w:szCs w:val="32"/>
        </w:rPr>
        <w:drawing>
          <wp:inline distT="0" distB="0" distL="0" distR="0">
            <wp:extent cx="5321935" cy="313118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四、两级法院审结审判类案件情况</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2018年上半年，两级法院共审结审判类案件296件，与2017年</w:t>
      </w:r>
      <w:r w:rsidR="00764BD7">
        <w:rPr>
          <w:rFonts w:ascii="仿宋" w:eastAsia="仿宋" w:hAnsi="仿宋" w:hint="eastAsia"/>
          <w:sz w:val="32"/>
          <w:szCs w:val="32"/>
        </w:rPr>
        <w:t>同期</w:t>
      </w:r>
      <w:r>
        <w:rPr>
          <w:rFonts w:ascii="仿宋" w:eastAsia="仿宋" w:hAnsi="仿宋" w:hint="eastAsia"/>
          <w:sz w:val="32"/>
          <w:szCs w:val="32"/>
        </w:rPr>
        <w:t>审结</w:t>
      </w:r>
      <w:r w:rsidR="00E80CC0">
        <w:rPr>
          <w:rFonts w:ascii="仿宋" w:eastAsia="仿宋" w:hAnsi="仿宋" w:hint="eastAsia"/>
          <w:sz w:val="32"/>
          <w:szCs w:val="32"/>
        </w:rPr>
        <w:t>的</w:t>
      </w:r>
      <w:r>
        <w:rPr>
          <w:rFonts w:ascii="仿宋" w:eastAsia="仿宋" w:hAnsi="仿宋" w:hint="eastAsia"/>
          <w:sz w:val="32"/>
          <w:szCs w:val="32"/>
        </w:rPr>
        <w:t>317件相比</w:t>
      </w:r>
      <w:r w:rsidR="00E80CC0">
        <w:rPr>
          <w:rFonts w:ascii="仿宋" w:eastAsia="仿宋" w:hAnsi="仿宋" w:hint="eastAsia"/>
          <w:sz w:val="32"/>
          <w:szCs w:val="32"/>
        </w:rPr>
        <w:t>，</w:t>
      </w:r>
      <w:r w:rsidR="00E46F24">
        <w:rPr>
          <w:rFonts w:ascii="仿宋" w:eastAsia="仿宋" w:hAnsi="仿宋" w:hint="eastAsia"/>
          <w:sz w:val="32"/>
          <w:szCs w:val="32"/>
        </w:rPr>
        <w:t>减少</w:t>
      </w:r>
      <w:r>
        <w:rPr>
          <w:rFonts w:ascii="仿宋" w:eastAsia="仿宋" w:hAnsi="仿宋" w:hint="eastAsia"/>
          <w:sz w:val="32"/>
          <w:szCs w:val="32"/>
        </w:rPr>
        <w:t>21件，下降6.62%。</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(一) 各院审结案件占两级法院比例情况</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按审结案件占两级法院审结案件的比例排序，</w:t>
      </w:r>
      <w:r w:rsidR="00E46F24">
        <w:rPr>
          <w:rFonts w:ascii="仿宋" w:eastAsia="仿宋" w:hAnsi="仿宋" w:hint="eastAsia"/>
          <w:sz w:val="32"/>
          <w:szCs w:val="32"/>
        </w:rPr>
        <w:t>由高到低分别</w:t>
      </w:r>
      <w:r>
        <w:rPr>
          <w:rFonts w:ascii="仿宋" w:eastAsia="仿宋" w:hAnsi="仿宋" w:hint="eastAsia"/>
          <w:sz w:val="32"/>
          <w:szCs w:val="32"/>
        </w:rPr>
        <w:t>为</w:t>
      </w:r>
      <w:r w:rsidR="007D0D99">
        <w:rPr>
          <w:rFonts w:ascii="仿宋" w:eastAsia="仿宋" w:hAnsi="仿宋" w:hint="eastAsia"/>
          <w:sz w:val="32"/>
          <w:szCs w:val="32"/>
        </w:rPr>
        <w:t>：</w:t>
      </w:r>
      <w:r>
        <w:rPr>
          <w:rFonts w:ascii="仿宋" w:eastAsia="仿宋" w:hAnsi="仿宋" w:hint="eastAsia"/>
          <w:sz w:val="32"/>
          <w:szCs w:val="32"/>
        </w:rPr>
        <w:t>抚松院25.68%、红石院21.62%、江源院15.88%、临江院13.51%、白石山院11.82%、中院11.49%。各院审结案件占两级法院比例情况如图7所示：</w:t>
      </w:r>
    </w:p>
    <w:p w:rsidR="00BE0495" w:rsidRDefault="00BE0495">
      <w:pPr>
        <w:spacing w:line="560" w:lineRule="exact"/>
        <w:ind w:firstLineChars="200" w:firstLine="640"/>
        <w:rPr>
          <w:rFonts w:ascii="仿宋" w:eastAsia="仿宋" w:hAnsi="仿宋"/>
          <w:sz w:val="32"/>
          <w:szCs w:val="32"/>
        </w:rPr>
      </w:pPr>
    </w:p>
    <w:p w:rsidR="00BE0495" w:rsidRDefault="00BE0495">
      <w:pPr>
        <w:spacing w:line="560" w:lineRule="exact"/>
        <w:ind w:firstLineChars="200" w:firstLine="640"/>
        <w:rPr>
          <w:rFonts w:ascii="仿宋" w:eastAsia="仿宋" w:hAnsi="仿宋"/>
          <w:sz w:val="32"/>
          <w:szCs w:val="32"/>
        </w:rPr>
      </w:pPr>
    </w:p>
    <w:p w:rsidR="00BE0495" w:rsidRDefault="00BE0495">
      <w:pPr>
        <w:spacing w:line="560" w:lineRule="exact"/>
        <w:ind w:firstLineChars="200" w:firstLine="640"/>
        <w:rPr>
          <w:rFonts w:ascii="仿宋" w:eastAsia="仿宋" w:hAnsi="仿宋"/>
          <w:sz w:val="32"/>
          <w:szCs w:val="32"/>
        </w:rPr>
      </w:pPr>
    </w:p>
    <w:p w:rsidR="00BE0495" w:rsidRDefault="00BE0495">
      <w:pPr>
        <w:spacing w:line="560" w:lineRule="exact"/>
        <w:ind w:firstLineChars="200" w:firstLine="640"/>
        <w:rPr>
          <w:rFonts w:ascii="仿宋" w:eastAsia="仿宋" w:hAnsi="仿宋"/>
          <w:sz w:val="32"/>
          <w:szCs w:val="32"/>
        </w:rPr>
      </w:pPr>
    </w:p>
    <w:p w:rsidR="00BE0495" w:rsidRDefault="00BE0495">
      <w:pPr>
        <w:spacing w:line="560" w:lineRule="exact"/>
        <w:ind w:firstLineChars="200" w:firstLine="640"/>
        <w:rPr>
          <w:rFonts w:ascii="仿宋" w:eastAsia="仿宋" w:hAnsi="仿宋"/>
          <w:sz w:val="32"/>
          <w:szCs w:val="32"/>
        </w:rPr>
      </w:pPr>
    </w:p>
    <w:p w:rsidR="00123E46" w:rsidRDefault="00363513">
      <w:pPr>
        <w:spacing w:line="560" w:lineRule="exact"/>
        <w:jc w:val="center"/>
        <w:rPr>
          <w:rFonts w:ascii="仿宋" w:eastAsia="仿宋" w:hAnsi="仿宋"/>
          <w:b/>
          <w:sz w:val="28"/>
          <w:szCs w:val="28"/>
        </w:rPr>
      </w:pPr>
      <w:r>
        <w:rPr>
          <w:rFonts w:ascii="仿宋" w:eastAsia="仿宋" w:hAnsi="仿宋" w:hint="eastAsia"/>
          <w:b/>
          <w:sz w:val="28"/>
          <w:szCs w:val="28"/>
        </w:rPr>
        <w:lastRenderedPageBreak/>
        <w:t>图7  各院审结案件占两级法院比例情况</w:t>
      </w:r>
    </w:p>
    <w:p w:rsidR="00123E46" w:rsidRDefault="00363513">
      <w:pPr>
        <w:rPr>
          <w:rFonts w:ascii="仿宋" w:eastAsia="仿宋" w:hAnsi="仿宋"/>
          <w:sz w:val="32"/>
          <w:szCs w:val="32"/>
        </w:rPr>
      </w:pPr>
      <w:r>
        <w:rPr>
          <w:rFonts w:ascii="仿宋" w:eastAsia="仿宋" w:hAnsi="仿宋" w:hint="eastAsia"/>
          <w:noProof/>
          <w:sz w:val="32"/>
          <w:szCs w:val="32"/>
        </w:rPr>
        <w:drawing>
          <wp:inline distT="0" distB="0" distL="0" distR="0">
            <wp:extent cx="4839335" cy="292354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（二）各院审结审判类案件同比情况</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2018年上半年与2017年</w:t>
      </w:r>
      <w:r w:rsidR="00B21A35">
        <w:rPr>
          <w:rFonts w:ascii="仿宋" w:eastAsia="仿宋" w:hAnsi="仿宋" w:hint="eastAsia"/>
          <w:sz w:val="32"/>
          <w:szCs w:val="32"/>
        </w:rPr>
        <w:t>同期</w:t>
      </w:r>
      <w:r>
        <w:rPr>
          <w:rFonts w:ascii="仿宋" w:eastAsia="仿宋" w:hAnsi="仿宋" w:hint="eastAsia"/>
          <w:sz w:val="32"/>
          <w:szCs w:val="32"/>
        </w:rPr>
        <w:t>相比，各院审结审判类案件</w:t>
      </w:r>
      <w:r w:rsidR="00B21A35">
        <w:rPr>
          <w:rFonts w:ascii="仿宋" w:eastAsia="仿宋" w:hAnsi="仿宋" w:hint="eastAsia"/>
          <w:sz w:val="32"/>
          <w:szCs w:val="32"/>
        </w:rPr>
        <w:t>数</w:t>
      </w:r>
      <w:r>
        <w:rPr>
          <w:rFonts w:ascii="仿宋" w:eastAsia="仿宋" w:hAnsi="仿宋" w:hint="eastAsia"/>
          <w:sz w:val="32"/>
          <w:szCs w:val="32"/>
        </w:rPr>
        <w:t>也表现出“三升三降”的特点，中院、临江院、抚松院结案数有所上升，白石山院、红石院、江源院结案数有所下降。各院审结审判类案件同比情况如图8所示：</w:t>
      </w:r>
    </w:p>
    <w:p w:rsidR="00123E46" w:rsidRDefault="00123E46" w:rsidP="00B21A35">
      <w:pPr>
        <w:rPr>
          <w:rFonts w:ascii="仿宋" w:eastAsia="仿宋" w:hAnsi="仿宋"/>
          <w:b/>
          <w:sz w:val="28"/>
          <w:szCs w:val="28"/>
        </w:rPr>
      </w:pPr>
    </w:p>
    <w:p w:rsidR="00123E46" w:rsidRDefault="00363513">
      <w:pPr>
        <w:ind w:firstLineChars="200" w:firstLine="562"/>
        <w:jc w:val="center"/>
        <w:rPr>
          <w:rFonts w:ascii="仿宋" w:eastAsia="仿宋" w:hAnsi="仿宋"/>
          <w:b/>
          <w:sz w:val="28"/>
          <w:szCs w:val="28"/>
        </w:rPr>
      </w:pPr>
      <w:r>
        <w:rPr>
          <w:rFonts w:ascii="仿宋" w:eastAsia="仿宋" w:hAnsi="仿宋" w:hint="eastAsia"/>
          <w:b/>
          <w:sz w:val="28"/>
          <w:szCs w:val="28"/>
        </w:rPr>
        <w:t>图8  各院审结审判类案件同比情况  （单位：件）</w:t>
      </w:r>
    </w:p>
    <w:p w:rsidR="00F83BDF" w:rsidRPr="00F83BDF" w:rsidRDefault="00363513" w:rsidP="00F83BDF">
      <w:pPr>
        <w:ind w:firstLineChars="200" w:firstLine="640"/>
        <w:rPr>
          <w:rFonts w:ascii="仿宋" w:eastAsia="仿宋" w:hAnsi="仿宋"/>
          <w:sz w:val="32"/>
          <w:szCs w:val="32"/>
        </w:rPr>
      </w:pPr>
      <w:r>
        <w:rPr>
          <w:rFonts w:ascii="仿宋" w:eastAsia="仿宋" w:hAnsi="仿宋" w:hint="eastAsia"/>
          <w:noProof/>
          <w:sz w:val="32"/>
          <w:szCs w:val="32"/>
        </w:rPr>
        <w:drawing>
          <wp:inline distT="0" distB="0" distL="0" distR="0">
            <wp:extent cx="4968240" cy="2803525"/>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lastRenderedPageBreak/>
        <w:t>(三)各院审结案件的审判程序情况</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2018年上半年，两级法院审结一审案件262件，</w:t>
      </w:r>
      <w:r w:rsidR="00BD74D4">
        <w:rPr>
          <w:rFonts w:ascii="仿宋" w:eastAsia="仿宋" w:hAnsi="仿宋" w:hint="eastAsia"/>
          <w:sz w:val="32"/>
          <w:szCs w:val="32"/>
        </w:rPr>
        <w:t>同比</w:t>
      </w:r>
      <w:r>
        <w:rPr>
          <w:rFonts w:ascii="仿宋" w:eastAsia="仿宋" w:hAnsi="仿宋" w:hint="eastAsia"/>
          <w:sz w:val="32"/>
          <w:szCs w:val="32"/>
        </w:rPr>
        <w:t>2017年上半年</w:t>
      </w:r>
      <w:r w:rsidR="006E65CC">
        <w:rPr>
          <w:rFonts w:ascii="仿宋" w:eastAsia="仿宋" w:hAnsi="仿宋" w:hint="eastAsia"/>
          <w:sz w:val="32"/>
          <w:szCs w:val="32"/>
        </w:rPr>
        <w:t>的</w:t>
      </w:r>
      <w:r>
        <w:rPr>
          <w:rFonts w:ascii="仿宋" w:eastAsia="仿宋" w:hAnsi="仿宋" w:hint="eastAsia"/>
          <w:sz w:val="32"/>
          <w:szCs w:val="32"/>
        </w:rPr>
        <w:t>287件</w:t>
      </w:r>
      <w:r w:rsidR="006E65CC">
        <w:rPr>
          <w:rFonts w:ascii="仿宋" w:eastAsia="仿宋" w:hAnsi="仿宋" w:hint="eastAsia"/>
          <w:sz w:val="32"/>
          <w:szCs w:val="32"/>
        </w:rPr>
        <w:t>，</w:t>
      </w:r>
      <w:r>
        <w:rPr>
          <w:rFonts w:ascii="仿宋" w:eastAsia="仿宋" w:hAnsi="仿宋" w:hint="eastAsia"/>
          <w:sz w:val="32"/>
          <w:szCs w:val="32"/>
        </w:rPr>
        <w:t>减少25件，下降8.71%；审结二审案件28件，同比2017年上半年</w:t>
      </w:r>
      <w:r w:rsidR="008A1DE7">
        <w:rPr>
          <w:rFonts w:ascii="仿宋" w:eastAsia="仿宋" w:hAnsi="仿宋" w:hint="eastAsia"/>
          <w:sz w:val="32"/>
          <w:szCs w:val="32"/>
        </w:rPr>
        <w:t>的</w:t>
      </w:r>
      <w:r>
        <w:rPr>
          <w:rFonts w:ascii="仿宋" w:eastAsia="仿宋" w:hAnsi="仿宋" w:hint="eastAsia"/>
          <w:sz w:val="32"/>
          <w:szCs w:val="32"/>
        </w:rPr>
        <w:t>22件</w:t>
      </w:r>
      <w:r w:rsidR="008A1DE7">
        <w:rPr>
          <w:rFonts w:ascii="仿宋" w:eastAsia="仿宋" w:hAnsi="仿宋" w:hint="eastAsia"/>
          <w:sz w:val="32"/>
          <w:szCs w:val="32"/>
        </w:rPr>
        <w:t>，</w:t>
      </w:r>
      <w:r>
        <w:rPr>
          <w:rFonts w:ascii="仿宋" w:eastAsia="仿宋" w:hAnsi="仿宋" w:hint="eastAsia"/>
          <w:sz w:val="32"/>
          <w:szCs w:val="32"/>
        </w:rPr>
        <w:t>增加6件，上升27.27%；审结再审案件2件，同比2017年上半年</w:t>
      </w:r>
      <w:r w:rsidR="008A1DE7">
        <w:rPr>
          <w:rFonts w:ascii="仿宋" w:eastAsia="仿宋" w:hAnsi="仿宋" w:hint="eastAsia"/>
          <w:sz w:val="32"/>
          <w:szCs w:val="32"/>
        </w:rPr>
        <w:t>的</w:t>
      </w:r>
      <w:r>
        <w:rPr>
          <w:rFonts w:ascii="仿宋" w:eastAsia="仿宋" w:hAnsi="仿宋" w:hint="eastAsia"/>
          <w:sz w:val="32"/>
          <w:szCs w:val="32"/>
        </w:rPr>
        <w:t>1件</w:t>
      </w:r>
      <w:r w:rsidR="002C782B">
        <w:rPr>
          <w:rFonts w:ascii="仿宋" w:eastAsia="仿宋" w:hAnsi="仿宋" w:hint="eastAsia"/>
          <w:sz w:val="32"/>
          <w:szCs w:val="32"/>
        </w:rPr>
        <w:t>，</w:t>
      </w:r>
      <w:r>
        <w:rPr>
          <w:rFonts w:ascii="仿宋" w:eastAsia="仿宋" w:hAnsi="仿宋" w:hint="eastAsia"/>
          <w:sz w:val="32"/>
          <w:szCs w:val="32"/>
        </w:rPr>
        <w:t>增加</w:t>
      </w:r>
      <w:r w:rsidR="008A1DE7">
        <w:rPr>
          <w:rFonts w:ascii="仿宋" w:eastAsia="仿宋" w:hAnsi="仿宋" w:hint="eastAsia"/>
          <w:sz w:val="32"/>
          <w:szCs w:val="32"/>
        </w:rPr>
        <w:t>1件，上升</w:t>
      </w:r>
      <w:r>
        <w:rPr>
          <w:rFonts w:ascii="仿宋" w:eastAsia="仿宋" w:hAnsi="仿宋" w:hint="eastAsia"/>
          <w:sz w:val="32"/>
          <w:szCs w:val="32"/>
        </w:rPr>
        <w:t>100%。</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2018年上半年，各院共审结民事一审案件182件，民事二审案件22件，民事特别案件2件，民事再审案件1件，分别占全部民事案件256件（新收236件，旧存20件）的71.09%、8.59%、0.78%、0.39%。</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2018年上半年，各院共审结刑事一审案件70件，刑事二审案件4件，刑事再审案件1件，分别占全部刑事案件89件（新收83件，旧存6件）的78.65%、4.49%、1.12%。</w:t>
      </w:r>
    </w:p>
    <w:p w:rsidR="00123E46" w:rsidRDefault="00363513" w:rsidP="00876AE8">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2018年上半年，各院共审结行政一审案件10件，行政二审案件2件，分别占全部行政案件14件（新收14件，旧存0件）的71.43%、14.23%。</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(四)各院审结案件的案由、罪名情况</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两级法院审结民事案件中，数量较多、占比较大的案由分别是合同、无因管理、不当得利纠纷（98件，占已审结民事案件207件的47.34%，其中民间借贷纠纷23件、供用热力合同纠纷20件）与婚姻家庭、继承纠纷（37件，占已审结民事案件207件的17.87%，其中离婚纠纷30件）。</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两级法院审结刑事案件中，数量较多、占比较大的罪名</w:t>
      </w:r>
      <w:r>
        <w:rPr>
          <w:rFonts w:ascii="仿宋" w:eastAsia="仿宋" w:hAnsi="仿宋" w:hint="eastAsia"/>
          <w:sz w:val="32"/>
          <w:szCs w:val="32"/>
        </w:rPr>
        <w:lastRenderedPageBreak/>
        <w:t>分别是非法采伐、毁坏国家重点保护植物罪（28件，占已审结刑事案件75件的37.33%）与盗伐林木罪（17件，占已审结刑事案件75件的22.67%）。</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(五)各院审结审判类案件一审简易程序适用率、二审发回重审率、改判率情况</w:t>
      </w:r>
    </w:p>
    <w:p w:rsidR="00876AE8" w:rsidRDefault="00363513" w:rsidP="00876AE8">
      <w:pPr>
        <w:spacing w:line="560" w:lineRule="exact"/>
        <w:ind w:firstLineChars="200" w:firstLine="640"/>
        <w:rPr>
          <w:rFonts w:ascii="仿宋" w:eastAsia="仿宋" w:hAnsi="仿宋"/>
          <w:sz w:val="30"/>
          <w:szCs w:val="30"/>
        </w:rPr>
      </w:pPr>
      <w:r>
        <w:rPr>
          <w:rFonts w:ascii="仿宋" w:eastAsia="仿宋" w:hAnsi="仿宋" w:hint="eastAsia"/>
          <w:sz w:val="32"/>
          <w:szCs w:val="32"/>
        </w:rPr>
        <w:t>2018年上半年，各院审结的一审案件中，简易程序适用率为81.30%，同比2017年上半年的79.09%，上升2.21个百分点。</w:t>
      </w:r>
      <w:r>
        <w:rPr>
          <w:rFonts w:ascii="仿宋" w:eastAsia="仿宋" w:hAnsi="仿宋" w:hint="eastAsia"/>
          <w:sz w:val="30"/>
          <w:szCs w:val="30"/>
        </w:rPr>
        <w:t>各院一审简易程序适用率同比情况如图9所示：</w:t>
      </w:r>
    </w:p>
    <w:p w:rsidR="00123E46" w:rsidRDefault="00363513">
      <w:pPr>
        <w:ind w:firstLineChars="200" w:firstLine="562"/>
        <w:jc w:val="center"/>
        <w:rPr>
          <w:rFonts w:ascii="仿宋" w:eastAsia="仿宋" w:hAnsi="仿宋"/>
          <w:b/>
          <w:sz w:val="28"/>
          <w:szCs w:val="28"/>
        </w:rPr>
      </w:pPr>
      <w:r>
        <w:rPr>
          <w:rFonts w:ascii="仿宋" w:eastAsia="仿宋" w:hAnsi="仿宋" w:hint="eastAsia"/>
          <w:b/>
          <w:sz w:val="28"/>
          <w:szCs w:val="28"/>
        </w:rPr>
        <w:t>图9  各院一审简易程序适用率同比情况</w:t>
      </w:r>
    </w:p>
    <w:p w:rsidR="00123E46" w:rsidRDefault="00363513">
      <w:pPr>
        <w:ind w:firstLineChars="200" w:firstLine="640"/>
        <w:rPr>
          <w:rFonts w:ascii="仿宋" w:eastAsia="仿宋" w:hAnsi="仿宋"/>
          <w:sz w:val="32"/>
          <w:szCs w:val="32"/>
        </w:rPr>
      </w:pPr>
      <w:r>
        <w:rPr>
          <w:rFonts w:ascii="仿宋" w:eastAsia="仿宋" w:hAnsi="仿宋"/>
          <w:noProof/>
          <w:sz w:val="32"/>
          <w:szCs w:val="32"/>
        </w:rPr>
        <w:drawing>
          <wp:inline distT="0" distB="0" distL="0" distR="0">
            <wp:extent cx="5236210" cy="2967355"/>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二审改判3件（抚松院1件刑事，因事实不清或者证据不足；1件民事，因认定事实错误；江源院1件刑事，因认定事实错误），二审发回重审2件（江源院1件刑事，因事实不清，证据不足；临江院1件民事，因事实不清或者证据不足），再审发回重审2件（中院1件刑事，因事实不清或者证据不足；抚松院1件民事，因事实不清或者证据不足）。一审案件上诉被改判、发回重审率为1.91%</w:t>
      </w:r>
      <w:r>
        <w:rPr>
          <w:rFonts w:ascii="仿宋" w:eastAsia="仿宋" w:hAnsi="仿宋" w:hint="eastAsia"/>
          <w:sz w:val="32"/>
          <w:szCs w:val="32"/>
        </w:rPr>
        <w:lastRenderedPageBreak/>
        <w:t>（上诉案件被改判数+上诉案件被发回重审数∕一审诉讼案件结案数），同比2017年上半年的1.39%，上升0.52个百分点；</w:t>
      </w:r>
      <w:r>
        <w:rPr>
          <w:rFonts w:ascii="仿宋" w:eastAsia="仿宋" w:hAnsi="仿宋" w:hint="eastAsia"/>
          <w:color w:val="000000" w:themeColor="text1"/>
          <w:sz w:val="32"/>
          <w:szCs w:val="32"/>
        </w:rPr>
        <w:t>生效案件再审被改判、发回重审率为0.76%（再审案件被改判数+再审案件被发回重审数∕生效案件总数），</w:t>
      </w:r>
      <w:r>
        <w:rPr>
          <w:rFonts w:ascii="仿宋" w:eastAsia="仿宋" w:hAnsi="仿宋" w:hint="eastAsia"/>
          <w:sz w:val="32"/>
          <w:szCs w:val="32"/>
        </w:rPr>
        <w:t>同比2017年上半年的0%上升0.76个百分点。发改案件具体情况如图10所示：</w:t>
      </w:r>
    </w:p>
    <w:p w:rsidR="00F31689" w:rsidRDefault="00F31689">
      <w:pPr>
        <w:spacing w:line="560" w:lineRule="exact"/>
        <w:ind w:firstLineChars="200" w:firstLine="640"/>
        <w:rPr>
          <w:rFonts w:ascii="仿宋" w:eastAsia="仿宋" w:hAnsi="仿宋"/>
          <w:sz w:val="32"/>
          <w:szCs w:val="32"/>
        </w:rPr>
      </w:pPr>
    </w:p>
    <w:p w:rsidR="00123E46" w:rsidRDefault="00363513">
      <w:pPr>
        <w:spacing w:line="560" w:lineRule="exact"/>
        <w:ind w:firstLineChars="200" w:firstLine="562"/>
        <w:jc w:val="center"/>
        <w:rPr>
          <w:rFonts w:ascii="仿宋" w:eastAsia="仿宋" w:hAnsi="仿宋"/>
          <w:b/>
          <w:sz w:val="28"/>
          <w:szCs w:val="28"/>
        </w:rPr>
      </w:pPr>
      <w:r>
        <w:rPr>
          <w:rFonts w:ascii="仿宋" w:eastAsia="仿宋" w:hAnsi="仿宋" w:hint="eastAsia"/>
          <w:b/>
          <w:sz w:val="28"/>
          <w:szCs w:val="28"/>
        </w:rPr>
        <w:t>图10  发、改案件具体案件列表</w:t>
      </w:r>
    </w:p>
    <w:tbl>
      <w:tblPr>
        <w:tblW w:w="8522" w:type="dxa"/>
        <w:jc w:val="center"/>
        <w:tblLayout w:type="fixed"/>
        <w:tblLook w:val="04A0"/>
      </w:tblPr>
      <w:tblGrid>
        <w:gridCol w:w="418"/>
        <w:gridCol w:w="1251"/>
        <w:gridCol w:w="1701"/>
        <w:gridCol w:w="566"/>
        <w:gridCol w:w="1701"/>
        <w:gridCol w:w="1131"/>
        <w:gridCol w:w="1754"/>
      </w:tblGrid>
      <w:tr w:rsidR="00123E46">
        <w:trPr>
          <w:trHeight w:val="1011"/>
          <w:jc w:val="center"/>
        </w:trPr>
        <w:tc>
          <w:tcPr>
            <w:tcW w:w="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序号</w:t>
            </w:r>
          </w:p>
        </w:tc>
        <w:tc>
          <w:tcPr>
            <w:tcW w:w="1251"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案号</w:t>
            </w:r>
          </w:p>
        </w:tc>
        <w:tc>
          <w:tcPr>
            <w:tcW w:w="1701"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案件名称</w:t>
            </w:r>
          </w:p>
        </w:tc>
        <w:tc>
          <w:tcPr>
            <w:tcW w:w="566"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承办人</w:t>
            </w:r>
          </w:p>
        </w:tc>
        <w:tc>
          <w:tcPr>
            <w:tcW w:w="1701"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原审案号</w:t>
            </w:r>
          </w:p>
        </w:tc>
        <w:tc>
          <w:tcPr>
            <w:tcW w:w="1131"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原审法院</w:t>
            </w:r>
          </w:p>
        </w:tc>
        <w:tc>
          <w:tcPr>
            <w:tcW w:w="1754"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改判</w:t>
            </w:r>
            <w:r>
              <w:rPr>
                <w:rFonts w:ascii="Arial" w:eastAsia="宋体" w:hAnsi="Arial" w:cs="Arial"/>
                <w:b/>
                <w:bCs/>
                <w:color w:val="000000"/>
                <w:kern w:val="0"/>
                <w:sz w:val="20"/>
                <w:szCs w:val="20"/>
              </w:rPr>
              <w:t>/</w:t>
            </w:r>
            <w:r>
              <w:rPr>
                <w:rFonts w:ascii="Arial" w:eastAsia="宋体" w:hAnsi="Arial" w:cs="Arial"/>
                <w:b/>
                <w:bCs/>
                <w:color w:val="000000"/>
                <w:kern w:val="0"/>
                <w:sz w:val="20"/>
                <w:szCs w:val="20"/>
              </w:rPr>
              <w:t>发回重审</w:t>
            </w:r>
            <w:r>
              <w:rPr>
                <w:rFonts w:ascii="Arial" w:eastAsia="宋体" w:hAnsi="Arial" w:cs="Arial"/>
                <w:b/>
                <w:bCs/>
                <w:color w:val="000000"/>
                <w:kern w:val="0"/>
                <w:sz w:val="20"/>
                <w:szCs w:val="20"/>
              </w:rPr>
              <w:t>/</w:t>
            </w:r>
            <w:r>
              <w:rPr>
                <w:rFonts w:ascii="Arial" w:eastAsia="宋体" w:hAnsi="Arial" w:cs="Arial"/>
                <w:b/>
                <w:bCs/>
                <w:color w:val="000000"/>
                <w:kern w:val="0"/>
                <w:sz w:val="20"/>
                <w:szCs w:val="20"/>
              </w:rPr>
              <w:t>指令再审原因</w:t>
            </w:r>
          </w:p>
        </w:tc>
      </w:tr>
      <w:tr w:rsidR="00123E46">
        <w:trPr>
          <w:trHeight w:val="978"/>
          <w:jc w:val="center"/>
        </w:trPr>
        <w:tc>
          <w:tcPr>
            <w:tcW w:w="418"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1</w:t>
            </w:r>
          </w:p>
        </w:tc>
        <w:tc>
          <w:tcPr>
            <w:tcW w:w="125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2018</w:t>
            </w:r>
            <w:r>
              <w:rPr>
                <w:rFonts w:ascii="Arial" w:eastAsia="宋体" w:hAnsi="Arial" w:cs="Arial"/>
                <w:color w:val="000000"/>
                <w:kern w:val="0"/>
                <w:sz w:val="18"/>
                <w:szCs w:val="18"/>
              </w:rPr>
              <w:t>）吉</w:t>
            </w:r>
            <w:r>
              <w:rPr>
                <w:rFonts w:ascii="Arial" w:eastAsia="宋体" w:hAnsi="Arial" w:cs="Arial"/>
                <w:color w:val="000000"/>
                <w:kern w:val="0"/>
                <w:sz w:val="18"/>
                <w:szCs w:val="18"/>
              </w:rPr>
              <w:t>76</w:t>
            </w:r>
            <w:r>
              <w:rPr>
                <w:rFonts w:ascii="Arial" w:eastAsia="宋体" w:hAnsi="Arial" w:cs="Arial"/>
                <w:color w:val="000000"/>
                <w:kern w:val="0"/>
                <w:sz w:val="18"/>
                <w:szCs w:val="18"/>
              </w:rPr>
              <w:t>刑终</w:t>
            </w:r>
            <w:r>
              <w:rPr>
                <w:rFonts w:ascii="Arial" w:eastAsia="宋体" w:hAnsi="Arial" w:cs="Arial"/>
                <w:color w:val="000000"/>
                <w:kern w:val="0"/>
                <w:sz w:val="18"/>
                <w:szCs w:val="18"/>
              </w:rPr>
              <w:t>2</w:t>
            </w:r>
            <w:r>
              <w:rPr>
                <w:rFonts w:ascii="Arial" w:eastAsia="宋体" w:hAnsi="Arial" w:cs="Arial"/>
                <w:color w:val="000000"/>
                <w:kern w:val="0"/>
                <w:sz w:val="18"/>
                <w:szCs w:val="18"/>
              </w:rPr>
              <w:t>号</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李跃鹏等故意伤害罪一案</w:t>
            </w:r>
          </w:p>
        </w:tc>
        <w:tc>
          <w:tcPr>
            <w:tcW w:w="566"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蒲素</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2017</w:t>
            </w:r>
            <w:r>
              <w:rPr>
                <w:rFonts w:ascii="Arial" w:eastAsia="宋体" w:hAnsi="Arial" w:cs="Arial"/>
                <w:color w:val="000000"/>
                <w:kern w:val="0"/>
                <w:sz w:val="18"/>
                <w:szCs w:val="18"/>
              </w:rPr>
              <w:t>）吉</w:t>
            </w:r>
            <w:r>
              <w:rPr>
                <w:rFonts w:ascii="Arial" w:eastAsia="宋体" w:hAnsi="Arial" w:cs="Arial"/>
                <w:color w:val="000000"/>
                <w:kern w:val="0"/>
                <w:sz w:val="18"/>
                <w:szCs w:val="18"/>
              </w:rPr>
              <w:t>7604</w:t>
            </w:r>
            <w:r>
              <w:rPr>
                <w:rFonts w:ascii="Arial" w:eastAsia="宋体" w:hAnsi="Arial" w:cs="Arial"/>
                <w:color w:val="000000"/>
                <w:kern w:val="0"/>
                <w:sz w:val="18"/>
                <w:szCs w:val="18"/>
              </w:rPr>
              <w:t>刑初</w:t>
            </w:r>
            <w:r>
              <w:rPr>
                <w:rFonts w:ascii="Arial" w:eastAsia="宋体" w:hAnsi="Arial" w:cs="Arial"/>
                <w:color w:val="000000"/>
                <w:kern w:val="0"/>
                <w:sz w:val="18"/>
                <w:szCs w:val="18"/>
              </w:rPr>
              <w:t>50</w:t>
            </w:r>
            <w:r>
              <w:rPr>
                <w:rFonts w:ascii="Arial" w:eastAsia="宋体" w:hAnsi="Arial" w:cs="Arial"/>
                <w:color w:val="000000"/>
                <w:kern w:val="0"/>
                <w:sz w:val="18"/>
                <w:szCs w:val="18"/>
              </w:rPr>
              <w:t>号</w:t>
            </w:r>
          </w:p>
        </w:tc>
        <w:tc>
          <w:tcPr>
            <w:tcW w:w="113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抚松林区基层法院</w:t>
            </w:r>
          </w:p>
        </w:tc>
        <w:tc>
          <w:tcPr>
            <w:tcW w:w="1754"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事实不清或者证据不足</w:t>
            </w:r>
          </w:p>
        </w:tc>
      </w:tr>
      <w:tr w:rsidR="00123E46">
        <w:trPr>
          <w:trHeight w:val="416"/>
          <w:jc w:val="center"/>
        </w:trPr>
        <w:tc>
          <w:tcPr>
            <w:tcW w:w="418"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w:t>
            </w:r>
          </w:p>
        </w:tc>
        <w:tc>
          <w:tcPr>
            <w:tcW w:w="125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2018</w:t>
            </w:r>
            <w:r>
              <w:rPr>
                <w:rFonts w:ascii="Arial" w:eastAsia="宋体" w:hAnsi="Arial" w:cs="Arial"/>
                <w:color w:val="000000"/>
                <w:kern w:val="0"/>
                <w:sz w:val="18"/>
                <w:szCs w:val="18"/>
              </w:rPr>
              <w:t>）吉</w:t>
            </w:r>
            <w:r>
              <w:rPr>
                <w:rFonts w:ascii="Arial" w:eastAsia="宋体" w:hAnsi="Arial" w:cs="Arial"/>
                <w:color w:val="000000"/>
                <w:kern w:val="0"/>
                <w:sz w:val="18"/>
                <w:szCs w:val="18"/>
              </w:rPr>
              <w:t>76</w:t>
            </w:r>
            <w:r>
              <w:rPr>
                <w:rFonts w:ascii="Arial" w:eastAsia="宋体" w:hAnsi="Arial" w:cs="Arial"/>
                <w:color w:val="000000"/>
                <w:kern w:val="0"/>
                <w:sz w:val="18"/>
                <w:szCs w:val="18"/>
              </w:rPr>
              <w:t>刑终</w:t>
            </w:r>
            <w:r>
              <w:rPr>
                <w:rFonts w:ascii="Arial" w:eastAsia="宋体" w:hAnsi="Arial" w:cs="Arial"/>
                <w:color w:val="000000"/>
                <w:kern w:val="0"/>
                <w:sz w:val="18"/>
                <w:szCs w:val="18"/>
              </w:rPr>
              <w:t>1</w:t>
            </w:r>
            <w:r>
              <w:rPr>
                <w:rFonts w:ascii="Arial" w:eastAsia="宋体" w:hAnsi="Arial" w:cs="Arial"/>
                <w:color w:val="000000"/>
                <w:kern w:val="0"/>
                <w:sz w:val="18"/>
                <w:szCs w:val="18"/>
              </w:rPr>
              <w:t>号</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殷长喜等非法占用农用地罪一</w:t>
            </w:r>
            <w:r>
              <w:rPr>
                <w:rFonts w:ascii="Arial" w:eastAsia="宋体" w:hAnsi="Arial" w:cs="Arial" w:hint="eastAsia"/>
                <w:color w:val="000000"/>
                <w:kern w:val="0"/>
                <w:sz w:val="18"/>
                <w:szCs w:val="18"/>
              </w:rPr>
              <w:t>案</w:t>
            </w:r>
          </w:p>
        </w:tc>
        <w:tc>
          <w:tcPr>
            <w:tcW w:w="566"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姜玉先</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2017</w:t>
            </w:r>
            <w:r>
              <w:rPr>
                <w:rFonts w:ascii="Arial" w:eastAsia="宋体" w:hAnsi="Arial" w:cs="Arial"/>
                <w:color w:val="000000"/>
                <w:kern w:val="0"/>
                <w:sz w:val="18"/>
                <w:szCs w:val="18"/>
              </w:rPr>
              <w:t>）吉</w:t>
            </w:r>
            <w:r>
              <w:rPr>
                <w:rFonts w:ascii="Arial" w:eastAsia="宋体" w:hAnsi="Arial" w:cs="Arial"/>
                <w:color w:val="000000"/>
                <w:kern w:val="0"/>
                <w:sz w:val="18"/>
                <w:szCs w:val="18"/>
              </w:rPr>
              <w:t>7605</w:t>
            </w:r>
            <w:r>
              <w:rPr>
                <w:rFonts w:ascii="Arial" w:eastAsia="宋体" w:hAnsi="Arial" w:cs="Arial"/>
                <w:color w:val="000000"/>
                <w:kern w:val="0"/>
                <w:sz w:val="18"/>
                <w:szCs w:val="18"/>
              </w:rPr>
              <w:t>刑初</w:t>
            </w:r>
            <w:r>
              <w:rPr>
                <w:rFonts w:ascii="Arial" w:eastAsia="宋体" w:hAnsi="Arial" w:cs="Arial"/>
                <w:color w:val="000000"/>
                <w:kern w:val="0"/>
                <w:sz w:val="18"/>
                <w:szCs w:val="18"/>
              </w:rPr>
              <w:t>28</w:t>
            </w:r>
            <w:r>
              <w:rPr>
                <w:rFonts w:ascii="Arial" w:eastAsia="宋体" w:hAnsi="Arial" w:cs="Arial"/>
                <w:color w:val="000000"/>
                <w:kern w:val="0"/>
                <w:sz w:val="18"/>
                <w:szCs w:val="18"/>
              </w:rPr>
              <w:t>号</w:t>
            </w:r>
          </w:p>
        </w:tc>
        <w:tc>
          <w:tcPr>
            <w:tcW w:w="113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江源林区基层法院</w:t>
            </w:r>
          </w:p>
        </w:tc>
        <w:tc>
          <w:tcPr>
            <w:tcW w:w="1754"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认定事实错误</w:t>
            </w:r>
          </w:p>
        </w:tc>
      </w:tr>
      <w:tr w:rsidR="00123E46">
        <w:trPr>
          <w:trHeight w:val="416"/>
          <w:jc w:val="center"/>
        </w:trPr>
        <w:tc>
          <w:tcPr>
            <w:tcW w:w="418"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3</w:t>
            </w:r>
          </w:p>
        </w:tc>
        <w:tc>
          <w:tcPr>
            <w:tcW w:w="125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w:t>
            </w:r>
            <w:r>
              <w:rPr>
                <w:rFonts w:ascii="Arial" w:eastAsia="宋体" w:hAnsi="Arial" w:cs="Arial" w:hint="eastAsia"/>
                <w:color w:val="000000"/>
                <w:kern w:val="0"/>
                <w:sz w:val="18"/>
                <w:szCs w:val="18"/>
              </w:rPr>
              <w:t>2018</w:t>
            </w:r>
            <w:r>
              <w:rPr>
                <w:rFonts w:ascii="Arial" w:eastAsia="宋体" w:hAnsi="Arial" w:cs="Arial" w:hint="eastAsia"/>
                <w:color w:val="000000"/>
                <w:kern w:val="0"/>
                <w:sz w:val="18"/>
                <w:szCs w:val="18"/>
              </w:rPr>
              <w:t>）吉</w:t>
            </w:r>
            <w:r>
              <w:rPr>
                <w:rFonts w:ascii="Arial" w:eastAsia="宋体" w:hAnsi="Arial" w:cs="Arial" w:hint="eastAsia"/>
                <w:color w:val="000000"/>
                <w:kern w:val="0"/>
                <w:sz w:val="18"/>
                <w:szCs w:val="18"/>
              </w:rPr>
              <w:t>76</w:t>
            </w:r>
            <w:r>
              <w:rPr>
                <w:rFonts w:ascii="Arial" w:eastAsia="宋体" w:hAnsi="Arial" w:cs="Arial" w:hint="eastAsia"/>
                <w:color w:val="000000"/>
                <w:kern w:val="0"/>
                <w:sz w:val="18"/>
                <w:szCs w:val="18"/>
              </w:rPr>
              <w:t>民终</w:t>
            </w:r>
            <w:r>
              <w:rPr>
                <w:rFonts w:ascii="Arial" w:eastAsia="宋体" w:hAnsi="Arial" w:cs="Arial" w:hint="eastAsia"/>
                <w:color w:val="000000"/>
                <w:kern w:val="0"/>
                <w:sz w:val="18"/>
                <w:szCs w:val="18"/>
              </w:rPr>
              <w:t>11</w:t>
            </w:r>
            <w:r>
              <w:rPr>
                <w:rFonts w:ascii="Arial" w:eastAsia="宋体" w:hAnsi="Arial" w:cs="Arial" w:hint="eastAsia"/>
                <w:color w:val="000000"/>
                <w:kern w:val="0"/>
                <w:sz w:val="18"/>
                <w:szCs w:val="18"/>
              </w:rPr>
              <w:t>号</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刘玉芬诉张利华等合伙协议纠</w:t>
            </w:r>
          </w:p>
        </w:tc>
        <w:tc>
          <w:tcPr>
            <w:tcW w:w="566"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李春玲</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w:t>
            </w:r>
            <w:r>
              <w:rPr>
                <w:rFonts w:ascii="Arial" w:eastAsia="宋体" w:hAnsi="Arial" w:cs="Arial" w:hint="eastAsia"/>
                <w:color w:val="000000"/>
                <w:kern w:val="0"/>
                <w:sz w:val="18"/>
                <w:szCs w:val="18"/>
              </w:rPr>
              <w:t>2017</w:t>
            </w:r>
            <w:r>
              <w:rPr>
                <w:rFonts w:ascii="Arial" w:eastAsia="宋体" w:hAnsi="Arial" w:cs="Arial" w:hint="eastAsia"/>
                <w:color w:val="000000"/>
                <w:kern w:val="0"/>
                <w:sz w:val="18"/>
                <w:szCs w:val="18"/>
              </w:rPr>
              <w:t>）吉</w:t>
            </w:r>
            <w:r>
              <w:rPr>
                <w:rFonts w:ascii="Arial" w:eastAsia="宋体" w:hAnsi="Arial" w:cs="Arial" w:hint="eastAsia"/>
                <w:color w:val="000000"/>
                <w:kern w:val="0"/>
                <w:sz w:val="18"/>
                <w:szCs w:val="18"/>
              </w:rPr>
              <w:t>7604</w:t>
            </w:r>
            <w:r>
              <w:rPr>
                <w:rFonts w:ascii="Arial" w:eastAsia="宋体" w:hAnsi="Arial" w:cs="Arial" w:hint="eastAsia"/>
                <w:color w:val="000000"/>
                <w:kern w:val="0"/>
                <w:sz w:val="18"/>
                <w:szCs w:val="18"/>
              </w:rPr>
              <w:t>民初</w:t>
            </w:r>
            <w:r>
              <w:rPr>
                <w:rFonts w:ascii="Arial" w:eastAsia="宋体" w:hAnsi="Arial" w:cs="Arial" w:hint="eastAsia"/>
                <w:color w:val="000000"/>
                <w:kern w:val="0"/>
                <w:sz w:val="18"/>
                <w:szCs w:val="18"/>
              </w:rPr>
              <w:t>86</w:t>
            </w:r>
            <w:r>
              <w:rPr>
                <w:rFonts w:ascii="Arial" w:eastAsia="宋体" w:hAnsi="Arial" w:cs="Arial" w:hint="eastAsia"/>
                <w:color w:val="000000"/>
                <w:kern w:val="0"/>
                <w:sz w:val="18"/>
                <w:szCs w:val="18"/>
              </w:rPr>
              <w:t>号</w:t>
            </w:r>
          </w:p>
        </w:tc>
        <w:tc>
          <w:tcPr>
            <w:tcW w:w="113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抚松林区基层法院</w:t>
            </w:r>
          </w:p>
        </w:tc>
        <w:tc>
          <w:tcPr>
            <w:tcW w:w="1754"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认定事实错误</w:t>
            </w:r>
          </w:p>
        </w:tc>
      </w:tr>
      <w:tr w:rsidR="00123E46">
        <w:trPr>
          <w:trHeight w:val="399"/>
          <w:jc w:val="center"/>
        </w:trPr>
        <w:tc>
          <w:tcPr>
            <w:tcW w:w="418" w:type="dxa"/>
            <w:tcBorders>
              <w:top w:val="nil"/>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4</w:t>
            </w:r>
          </w:p>
        </w:tc>
        <w:tc>
          <w:tcPr>
            <w:tcW w:w="1251"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2018</w:t>
            </w:r>
            <w:r>
              <w:rPr>
                <w:rFonts w:ascii="Arial" w:eastAsia="宋体" w:hAnsi="Arial" w:cs="Arial"/>
                <w:color w:val="000000"/>
                <w:kern w:val="0"/>
                <w:sz w:val="18"/>
                <w:szCs w:val="18"/>
              </w:rPr>
              <w:t>）吉</w:t>
            </w:r>
            <w:r>
              <w:rPr>
                <w:rFonts w:ascii="Arial" w:eastAsia="宋体" w:hAnsi="Arial" w:cs="Arial"/>
                <w:color w:val="000000"/>
                <w:kern w:val="0"/>
                <w:sz w:val="18"/>
                <w:szCs w:val="18"/>
              </w:rPr>
              <w:t>76</w:t>
            </w:r>
            <w:r>
              <w:rPr>
                <w:rFonts w:ascii="Arial" w:eastAsia="宋体" w:hAnsi="Arial" w:cs="Arial"/>
                <w:color w:val="000000"/>
                <w:kern w:val="0"/>
                <w:sz w:val="18"/>
                <w:szCs w:val="18"/>
              </w:rPr>
              <w:t>民终</w:t>
            </w:r>
            <w:r>
              <w:rPr>
                <w:rFonts w:ascii="Arial" w:eastAsia="宋体" w:hAnsi="Arial" w:cs="Arial"/>
                <w:color w:val="000000"/>
                <w:kern w:val="0"/>
                <w:sz w:val="18"/>
                <w:szCs w:val="18"/>
              </w:rPr>
              <w:t>4</w:t>
            </w:r>
            <w:r>
              <w:rPr>
                <w:rFonts w:ascii="Arial" w:eastAsia="宋体" w:hAnsi="Arial" w:cs="Arial"/>
                <w:color w:val="000000"/>
                <w:kern w:val="0"/>
                <w:sz w:val="18"/>
                <w:szCs w:val="18"/>
              </w:rPr>
              <w:t>号</w:t>
            </w:r>
          </w:p>
        </w:tc>
        <w:tc>
          <w:tcPr>
            <w:tcW w:w="1701"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曹志洋等诉朱秀杰等提供劳务</w:t>
            </w:r>
          </w:p>
        </w:tc>
        <w:tc>
          <w:tcPr>
            <w:tcW w:w="566"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李春玲</w:t>
            </w:r>
          </w:p>
        </w:tc>
        <w:tc>
          <w:tcPr>
            <w:tcW w:w="1701"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2017</w:t>
            </w:r>
            <w:r>
              <w:rPr>
                <w:rFonts w:ascii="Arial" w:eastAsia="宋体" w:hAnsi="Arial" w:cs="Arial"/>
                <w:color w:val="000000"/>
                <w:kern w:val="0"/>
                <w:sz w:val="18"/>
                <w:szCs w:val="18"/>
              </w:rPr>
              <w:t>）吉</w:t>
            </w:r>
            <w:r>
              <w:rPr>
                <w:rFonts w:ascii="Arial" w:eastAsia="宋体" w:hAnsi="Arial" w:cs="Arial"/>
                <w:color w:val="000000"/>
                <w:kern w:val="0"/>
                <w:sz w:val="18"/>
                <w:szCs w:val="18"/>
              </w:rPr>
              <w:t>7601</w:t>
            </w:r>
            <w:r>
              <w:rPr>
                <w:rFonts w:ascii="Arial" w:eastAsia="宋体" w:hAnsi="Arial" w:cs="Arial"/>
                <w:color w:val="000000"/>
                <w:kern w:val="0"/>
                <w:sz w:val="18"/>
                <w:szCs w:val="18"/>
              </w:rPr>
              <w:t>民初</w:t>
            </w:r>
            <w:r>
              <w:rPr>
                <w:rFonts w:ascii="Arial" w:eastAsia="宋体" w:hAnsi="Arial" w:cs="Arial"/>
                <w:color w:val="000000"/>
                <w:kern w:val="0"/>
                <w:sz w:val="18"/>
                <w:szCs w:val="18"/>
              </w:rPr>
              <w:t>26</w:t>
            </w:r>
            <w:r>
              <w:rPr>
                <w:rFonts w:ascii="Arial" w:eastAsia="宋体" w:hAnsi="Arial" w:cs="Arial"/>
                <w:color w:val="000000"/>
                <w:kern w:val="0"/>
                <w:sz w:val="18"/>
                <w:szCs w:val="18"/>
              </w:rPr>
              <w:t>号</w:t>
            </w:r>
          </w:p>
        </w:tc>
        <w:tc>
          <w:tcPr>
            <w:tcW w:w="1131"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临江林区基层法院</w:t>
            </w:r>
          </w:p>
        </w:tc>
        <w:tc>
          <w:tcPr>
            <w:tcW w:w="1754"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事实不清证据不足</w:t>
            </w:r>
          </w:p>
        </w:tc>
      </w:tr>
      <w:tr w:rsidR="00123E46">
        <w:trPr>
          <w:trHeight w:val="952"/>
          <w:jc w:val="center"/>
        </w:trPr>
        <w:tc>
          <w:tcPr>
            <w:tcW w:w="418" w:type="dxa"/>
            <w:tcBorders>
              <w:top w:val="single" w:sz="4" w:space="0" w:color="auto"/>
              <w:left w:val="single" w:sz="4" w:space="0" w:color="000000"/>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5</w:t>
            </w:r>
          </w:p>
        </w:tc>
        <w:tc>
          <w:tcPr>
            <w:tcW w:w="1251"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w:t>
            </w:r>
            <w:r>
              <w:rPr>
                <w:rFonts w:ascii="Arial" w:eastAsia="宋体" w:hAnsi="Arial" w:cs="Arial" w:hint="eastAsia"/>
                <w:color w:val="000000"/>
                <w:kern w:val="0"/>
                <w:sz w:val="18"/>
                <w:szCs w:val="18"/>
              </w:rPr>
              <w:t>2018</w:t>
            </w:r>
            <w:r>
              <w:rPr>
                <w:rFonts w:ascii="Arial" w:eastAsia="宋体" w:hAnsi="Arial" w:cs="Arial" w:hint="eastAsia"/>
                <w:color w:val="000000"/>
                <w:kern w:val="0"/>
                <w:sz w:val="18"/>
                <w:szCs w:val="18"/>
              </w:rPr>
              <w:t>）吉</w:t>
            </w:r>
            <w:r>
              <w:rPr>
                <w:rFonts w:ascii="Arial" w:eastAsia="宋体" w:hAnsi="Arial" w:cs="Arial" w:hint="eastAsia"/>
                <w:color w:val="000000"/>
                <w:kern w:val="0"/>
                <w:sz w:val="18"/>
                <w:szCs w:val="18"/>
              </w:rPr>
              <w:t>76</w:t>
            </w:r>
            <w:r>
              <w:rPr>
                <w:rFonts w:ascii="Arial" w:eastAsia="宋体" w:hAnsi="Arial" w:cs="Arial" w:hint="eastAsia"/>
                <w:color w:val="000000"/>
                <w:kern w:val="0"/>
                <w:sz w:val="18"/>
                <w:szCs w:val="18"/>
              </w:rPr>
              <w:t>刑终</w:t>
            </w:r>
            <w:r>
              <w:rPr>
                <w:rFonts w:ascii="Arial" w:eastAsia="宋体" w:hAnsi="Arial" w:cs="Arial" w:hint="eastAsia"/>
                <w:color w:val="000000"/>
                <w:kern w:val="0"/>
                <w:sz w:val="18"/>
                <w:szCs w:val="18"/>
              </w:rPr>
              <w:t>4</w:t>
            </w:r>
            <w:r>
              <w:rPr>
                <w:rFonts w:ascii="Arial" w:eastAsia="宋体" w:hAnsi="Arial" w:cs="Arial" w:hint="eastAsia"/>
                <w:color w:val="000000"/>
                <w:kern w:val="0"/>
                <w:sz w:val="18"/>
                <w:szCs w:val="18"/>
              </w:rPr>
              <w:t>号</w:t>
            </w:r>
          </w:p>
        </w:tc>
        <w:tc>
          <w:tcPr>
            <w:tcW w:w="1701"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苗成武敲诈勒索罪一案</w:t>
            </w:r>
          </w:p>
        </w:tc>
        <w:tc>
          <w:tcPr>
            <w:tcW w:w="566"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蒲素</w:t>
            </w:r>
          </w:p>
        </w:tc>
        <w:tc>
          <w:tcPr>
            <w:tcW w:w="1701"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w:t>
            </w:r>
            <w:r>
              <w:rPr>
                <w:rFonts w:ascii="Arial" w:eastAsia="宋体" w:hAnsi="Arial" w:cs="Arial" w:hint="eastAsia"/>
                <w:color w:val="000000"/>
                <w:kern w:val="0"/>
                <w:sz w:val="18"/>
                <w:szCs w:val="18"/>
              </w:rPr>
              <w:t>2017</w:t>
            </w:r>
            <w:r>
              <w:rPr>
                <w:rFonts w:ascii="Arial" w:eastAsia="宋体" w:hAnsi="Arial" w:cs="Arial" w:hint="eastAsia"/>
                <w:color w:val="000000"/>
                <w:kern w:val="0"/>
                <w:sz w:val="18"/>
                <w:szCs w:val="18"/>
              </w:rPr>
              <w:t>）吉</w:t>
            </w:r>
            <w:r>
              <w:rPr>
                <w:rFonts w:ascii="Arial" w:eastAsia="宋体" w:hAnsi="Arial" w:cs="Arial" w:hint="eastAsia"/>
                <w:color w:val="000000"/>
                <w:kern w:val="0"/>
                <w:sz w:val="18"/>
                <w:szCs w:val="18"/>
              </w:rPr>
              <w:t>7605</w:t>
            </w:r>
            <w:r>
              <w:rPr>
                <w:rFonts w:ascii="Arial" w:eastAsia="宋体" w:hAnsi="Arial" w:cs="Arial" w:hint="eastAsia"/>
                <w:color w:val="000000"/>
                <w:kern w:val="0"/>
                <w:sz w:val="18"/>
                <w:szCs w:val="18"/>
              </w:rPr>
              <w:t>刑初</w:t>
            </w:r>
            <w:r>
              <w:rPr>
                <w:rFonts w:ascii="Arial" w:eastAsia="宋体" w:hAnsi="Arial" w:cs="Arial" w:hint="eastAsia"/>
                <w:color w:val="000000"/>
                <w:kern w:val="0"/>
                <w:sz w:val="18"/>
                <w:szCs w:val="18"/>
              </w:rPr>
              <w:t>39</w:t>
            </w:r>
            <w:r>
              <w:rPr>
                <w:rFonts w:ascii="Arial" w:eastAsia="宋体" w:hAnsi="Arial" w:cs="Arial" w:hint="eastAsia"/>
                <w:color w:val="000000"/>
                <w:kern w:val="0"/>
                <w:sz w:val="18"/>
                <w:szCs w:val="18"/>
              </w:rPr>
              <w:t>号</w:t>
            </w:r>
          </w:p>
        </w:tc>
        <w:tc>
          <w:tcPr>
            <w:tcW w:w="1131"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江源林区基层法院</w:t>
            </w:r>
          </w:p>
        </w:tc>
        <w:tc>
          <w:tcPr>
            <w:tcW w:w="1754"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事实不清证据不足</w:t>
            </w:r>
          </w:p>
        </w:tc>
      </w:tr>
      <w:tr w:rsidR="00123E46">
        <w:trPr>
          <w:trHeight w:val="952"/>
          <w:jc w:val="center"/>
        </w:trPr>
        <w:tc>
          <w:tcPr>
            <w:tcW w:w="418" w:type="dxa"/>
            <w:tcBorders>
              <w:top w:val="single" w:sz="4" w:space="0" w:color="auto"/>
              <w:left w:val="single" w:sz="4" w:space="0" w:color="000000"/>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6</w:t>
            </w:r>
          </w:p>
        </w:tc>
        <w:tc>
          <w:tcPr>
            <w:tcW w:w="1251"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2018</w:t>
            </w:r>
            <w:r>
              <w:rPr>
                <w:rFonts w:ascii="Arial" w:eastAsia="宋体" w:hAnsi="Arial" w:cs="Arial"/>
                <w:color w:val="000000"/>
                <w:kern w:val="0"/>
                <w:sz w:val="18"/>
                <w:szCs w:val="18"/>
              </w:rPr>
              <w:t>）吉</w:t>
            </w:r>
            <w:r>
              <w:rPr>
                <w:rFonts w:ascii="Arial" w:eastAsia="宋体" w:hAnsi="Arial" w:cs="Arial"/>
                <w:color w:val="000000"/>
                <w:kern w:val="0"/>
                <w:sz w:val="18"/>
                <w:szCs w:val="18"/>
              </w:rPr>
              <w:t>76</w:t>
            </w:r>
            <w:r>
              <w:rPr>
                <w:rFonts w:ascii="Arial" w:eastAsia="宋体" w:hAnsi="Arial" w:cs="Arial"/>
                <w:color w:val="000000"/>
                <w:kern w:val="0"/>
                <w:sz w:val="18"/>
                <w:szCs w:val="18"/>
              </w:rPr>
              <w:t>刑再</w:t>
            </w:r>
            <w:r>
              <w:rPr>
                <w:rFonts w:ascii="Arial" w:eastAsia="宋体" w:hAnsi="Arial" w:cs="Arial"/>
                <w:color w:val="000000"/>
                <w:kern w:val="0"/>
                <w:sz w:val="18"/>
                <w:szCs w:val="18"/>
              </w:rPr>
              <w:t>1</w:t>
            </w:r>
            <w:r>
              <w:rPr>
                <w:rFonts w:ascii="Arial" w:eastAsia="宋体" w:hAnsi="Arial" w:cs="Arial"/>
                <w:color w:val="000000"/>
                <w:kern w:val="0"/>
                <w:sz w:val="18"/>
                <w:szCs w:val="18"/>
              </w:rPr>
              <w:t>号</w:t>
            </w:r>
          </w:p>
        </w:tc>
        <w:tc>
          <w:tcPr>
            <w:tcW w:w="1701"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赵龙华盗伐林木罪再审一案</w:t>
            </w:r>
          </w:p>
        </w:tc>
        <w:tc>
          <w:tcPr>
            <w:tcW w:w="566"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孟东华</w:t>
            </w:r>
          </w:p>
        </w:tc>
        <w:tc>
          <w:tcPr>
            <w:tcW w:w="1701"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2016</w:t>
            </w:r>
            <w:r>
              <w:rPr>
                <w:rFonts w:ascii="Arial" w:eastAsia="宋体" w:hAnsi="Arial" w:cs="Arial"/>
                <w:color w:val="000000"/>
                <w:kern w:val="0"/>
                <w:sz w:val="18"/>
                <w:szCs w:val="18"/>
              </w:rPr>
              <w:t>）吉</w:t>
            </w:r>
            <w:r>
              <w:rPr>
                <w:rFonts w:ascii="Arial" w:eastAsia="宋体" w:hAnsi="Arial" w:cs="Arial"/>
                <w:color w:val="000000"/>
                <w:kern w:val="0"/>
                <w:sz w:val="18"/>
                <w:szCs w:val="18"/>
              </w:rPr>
              <w:t>76</w:t>
            </w:r>
            <w:r>
              <w:rPr>
                <w:rFonts w:ascii="Arial" w:eastAsia="宋体" w:hAnsi="Arial" w:cs="Arial"/>
                <w:color w:val="000000"/>
                <w:kern w:val="0"/>
                <w:sz w:val="18"/>
                <w:szCs w:val="18"/>
              </w:rPr>
              <w:t>刑终</w:t>
            </w:r>
            <w:r>
              <w:rPr>
                <w:rFonts w:ascii="Arial" w:eastAsia="宋体" w:hAnsi="Arial" w:cs="Arial"/>
                <w:color w:val="000000"/>
                <w:kern w:val="0"/>
                <w:sz w:val="18"/>
                <w:szCs w:val="18"/>
              </w:rPr>
              <w:t>7</w:t>
            </w:r>
            <w:r>
              <w:rPr>
                <w:rFonts w:ascii="Arial" w:eastAsia="宋体" w:hAnsi="Arial" w:cs="Arial"/>
                <w:color w:val="000000"/>
                <w:kern w:val="0"/>
                <w:sz w:val="18"/>
                <w:szCs w:val="18"/>
              </w:rPr>
              <w:t>号</w:t>
            </w:r>
          </w:p>
        </w:tc>
        <w:tc>
          <w:tcPr>
            <w:tcW w:w="1131"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长春林区中级法院</w:t>
            </w:r>
          </w:p>
        </w:tc>
        <w:tc>
          <w:tcPr>
            <w:tcW w:w="1754"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事实不清证据不足</w:t>
            </w:r>
          </w:p>
        </w:tc>
      </w:tr>
      <w:tr w:rsidR="00123E46">
        <w:trPr>
          <w:trHeight w:val="952"/>
          <w:jc w:val="center"/>
        </w:trPr>
        <w:tc>
          <w:tcPr>
            <w:tcW w:w="418"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7</w:t>
            </w:r>
          </w:p>
        </w:tc>
        <w:tc>
          <w:tcPr>
            <w:tcW w:w="125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2018</w:t>
            </w:r>
            <w:r>
              <w:rPr>
                <w:rFonts w:ascii="Arial" w:eastAsia="宋体" w:hAnsi="Arial" w:cs="Arial"/>
                <w:color w:val="000000"/>
                <w:kern w:val="0"/>
                <w:sz w:val="18"/>
                <w:szCs w:val="18"/>
              </w:rPr>
              <w:t>）吉</w:t>
            </w:r>
            <w:r>
              <w:rPr>
                <w:rFonts w:ascii="Arial" w:eastAsia="宋体" w:hAnsi="Arial" w:cs="Arial"/>
                <w:color w:val="000000"/>
                <w:kern w:val="0"/>
                <w:sz w:val="18"/>
                <w:szCs w:val="18"/>
              </w:rPr>
              <w:t>76</w:t>
            </w:r>
            <w:r>
              <w:rPr>
                <w:rFonts w:ascii="Arial" w:eastAsia="宋体" w:hAnsi="Arial" w:cs="Arial"/>
                <w:color w:val="000000"/>
                <w:kern w:val="0"/>
                <w:sz w:val="18"/>
                <w:szCs w:val="18"/>
              </w:rPr>
              <w:t>民再</w:t>
            </w:r>
            <w:r>
              <w:rPr>
                <w:rFonts w:ascii="Arial" w:eastAsia="宋体" w:hAnsi="Arial" w:cs="Arial"/>
                <w:color w:val="000000"/>
                <w:kern w:val="0"/>
                <w:sz w:val="18"/>
                <w:szCs w:val="18"/>
              </w:rPr>
              <w:t>1</w:t>
            </w:r>
            <w:r>
              <w:rPr>
                <w:rFonts w:ascii="Arial" w:eastAsia="宋体" w:hAnsi="Arial" w:cs="Arial"/>
                <w:color w:val="000000"/>
                <w:kern w:val="0"/>
                <w:sz w:val="18"/>
                <w:szCs w:val="18"/>
              </w:rPr>
              <w:t>号</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抚松县露水河鲲鹏酒业有限公</w:t>
            </w:r>
          </w:p>
        </w:tc>
        <w:tc>
          <w:tcPr>
            <w:tcW w:w="566"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封硕</w:t>
            </w:r>
          </w:p>
        </w:tc>
        <w:tc>
          <w:tcPr>
            <w:tcW w:w="170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(2015)</w:t>
            </w:r>
            <w:r>
              <w:rPr>
                <w:rFonts w:ascii="Arial" w:eastAsia="宋体" w:hAnsi="Arial" w:cs="Arial"/>
                <w:color w:val="000000"/>
                <w:kern w:val="0"/>
                <w:sz w:val="18"/>
                <w:szCs w:val="18"/>
              </w:rPr>
              <w:t>抚林民初字第</w:t>
            </w:r>
            <w:r>
              <w:rPr>
                <w:rFonts w:ascii="Arial" w:eastAsia="宋体" w:hAnsi="Arial" w:cs="Arial"/>
                <w:color w:val="000000"/>
                <w:kern w:val="0"/>
                <w:sz w:val="18"/>
                <w:szCs w:val="18"/>
              </w:rPr>
              <w:t>195</w:t>
            </w:r>
            <w:r>
              <w:rPr>
                <w:rFonts w:ascii="Arial" w:eastAsia="宋体" w:hAnsi="Arial" w:cs="Arial"/>
                <w:color w:val="000000"/>
                <w:kern w:val="0"/>
                <w:sz w:val="18"/>
                <w:szCs w:val="18"/>
              </w:rPr>
              <w:t>号</w:t>
            </w:r>
          </w:p>
        </w:tc>
        <w:tc>
          <w:tcPr>
            <w:tcW w:w="1131"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抚松林区基层法院</w:t>
            </w:r>
          </w:p>
        </w:tc>
        <w:tc>
          <w:tcPr>
            <w:tcW w:w="1754"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事实不清证据不足</w:t>
            </w:r>
          </w:p>
        </w:tc>
      </w:tr>
    </w:tbl>
    <w:p w:rsidR="00123E46" w:rsidRDefault="00123E46">
      <w:pPr>
        <w:spacing w:line="560" w:lineRule="exact"/>
        <w:rPr>
          <w:rFonts w:ascii="仿宋" w:eastAsia="仿宋" w:hAnsi="仿宋"/>
          <w:b/>
          <w:sz w:val="32"/>
          <w:szCs w:val="32"/>
        </w:rPr>
      </w:pPr>
    </w:p>
    <w:p w:rsidR="00F31689" w:rsidRDefault="00F31689">
      <w:pPr>
        <w:spacing w:line="560" w:lineRule="exact"/>
        <w:rPr>
          <w:rFonts w:ascii="仿宋" w:eastAsia="仿宋" w:hAnsi="仿宋"/>
          <w:b/>
          <w:sz w:val="32"/>
          <w:szCs w:val="32"/>
        </w:rPr>
      </w:pPr>
    </w:p>
    <w:p w:rsidR="00F31689" w:rsidRDefault="00F31689">
      <w:pPr>
        <w:spacing w:line="560" w:lineRule="exact"/>
        <w:rPr>
          <w:rFonts w:ascii="仿宋" w:eastAsia="仿宋" w:hAnsi="仿宋"/>
          <w:b/>
          <w:sz w:val="32"/>
          <w:szCs w:val="32"/>
        </w:rPr>
      </w:pP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lastRenderedPageBreak/>
        <w:t>五、两级法院分月收结审判类案件情况</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2018年1月，新收61件（一审48件，二审12件，再审1件），审结32件（审结一审24件，审结二审6件，审结再审2件），结收比为52.46%。</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2月，新收53件（一审47件，二审4件，再审2件），审结53件（审结一审47件，审结二审4件，审结再审2件），结收比为100%。</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3月，新收42件（一审40件，二审2件），审结37件（审结一审33件，审结二审3件，审结民特1件），结收比为88.10%。</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4月，新收61件（一审58件，二审3件），审结56件（审结一审48件，审结二审8件），结收比为91.80%。</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5月，新收76件（一审68件，二审5件，民特1件，审查监督2件），审结63件（审结一审57件，审结二审5件，审结民特1件），结收比为82.89%。</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6月，新收42件（一审40件，二审2件），审结55件（审结一审53件，审结二审2件），结收比为130.95%。</w:t>
      </w:r>
    </w:p>
    <w:p w:rsidR="00123E46" w:rsidRDefault="00363513" w:rsidP="00D01BCB">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2018年上半年，1月、4月、5月新收案件数量较多。2月结收比实现均衡，6月结收比较高，其它月份结收比均低于100%。各院每月收结案总体情况如图11、图12、图13、图14、图15、图16</w:t>
      </w:r>
      <w:r w:rsidR="00702FF4">
        <w:rPr>
          <w:rFonts w:ascii="仿宋" w:eastAsia="仿宋" w:hAnsi="仿宋" w:hint="eastAsia"/>
          <w:sz w:val="32"/>
          <w:szCs w:val="32"/>
        </w:rPr>
        <w:t>、图17</w:t>
      </w:r>
      <w:r>
        <w:rPr>
          <w:rFonts w:ascii="仿宋" w:eastAsia="仿宋" w:hAnsi="仿宋" w:hint="eastAsia"/>
          <w:sz w:val="32"/>
          <w:szCs w:val="32"/>
        </w:rPr>
        <w:t>所示：</w:t>
      </w:r>
    </w:p>
    <w:p w:rsidR="00013E9F" w:rsidRDefault="00013E9F" w:rsidP="00D01BCB">
      <w:pPr>
        <w:spacing w:line="560" w:lineRule="exact"/>
        <w:ind w:firstLineChars="200" w:firstLine="640"/>
        <w:rPr>
          <w:rFonts w:ascii="仿宋" w:eastAsia="仿宋" w:hAnsi="仿宋"/>
          <w:sz w:val="32"/>
          <w:szCs w:val="32"/>
        </w:rPr>
      </w:pPr>
    </w:p>
    <w:p w:rsidR="00013E9F" w:rsidRDefault="00013E9F" w:rsidP="00D01BCB">
      <w:pPr>
        <w:spacing w:line="560" w:lineRule="exact"/>
        <w:ind w:firstLineChars="200" w:firstLine="640"/>
        <w:rPr>
          <w:rFonts w:ascii="仿宋" w:eastAsia="仿宋" w:hAnsi="仿宋"/>
          <w:sz w:val="32"/>
          <w:szCs w:val="32"/>
        </w:rPr>
      </w:pPr>
    </w:p>
    <w:p w:rsidR="00013E9F" w:rsidRDefault="00013E9F" w:rsidP="00D01BCB">
      <w:pPr>
        <w:spacing w:line="560" w:lineRule="exact"/>
        <w:ind w:firstLineChars="200" w:firstLine="640"/>
        <w:rPr>
          <w:rFonts w:ascii="仿宋" w:eastAsia="仿宋" w:hAnsi="仿宋"/>
          <w:sz w:val="32"/>
          <w:szCs w:val="32"/>
        </w:rPr>
      </w:pPr>
    </w:p>
    <w:p w:rsidR="009C7E86" w:rsidRPr="00D01BCB" w:rsidRDefault="009C7E86" w:rsidP="00D01BCB">
      <w:pPr>
        <w:spacing w:line="560" w:lineRule="exact"/>
        <w:ind w:firstLineChars="200" w:firstLine="640"/>
        <w:rPr>
          <w:rFonts w:ascii="仿宋" w:eastAsia="仿宋" w:hAnsi="仿宋"/>
          <w:sz w:val="32"/>
          <w:szCs w:val="32"/>
        </w:rPr>
      </w:pPr>
    </w:p>
    <w:p w:rsidR="00123E46" w:rsidRDefault="00363513">
      <w:pPr>
        <w:ind w:firstLineChars="200" w:firstLine="562"/>
        <w:jc w:val="center"/>
        <w:rPr>
          <w:rFonts w:ascii="仿宋" w:eastAsia="仿宋" w:hAnsi="仿宋"/>
          <w:b/>
          <w:sz w:val="28"/>
          <w:szCs w:val="28"/>
        </w:rPr>
      </w:pPr>
      <w:r>
        <w:rPr>
          <w:rFonts w:ascii="仿宋" w:eastAsia="仿宋" w:hAnsi="仿宋" w:hint="eastAsia"/>
          <w:b/>
          <w:sz w:val="28"/>
          <w:szCs w:val="28"/>
        </w:rPr>
        <w:t>图11  两级法院各月收结案总体情况（单位：件）</w:t>
      </w:r>
    </w:p>
    <w:p w:rsidR="00123E46" w:rsidRDefault="00363513">
      <w:pPr>
        <w:ind w:firstLineChars="200" w:firstLine="640"/>
        <w:rPr>
          <w:rFonts w:ascii="仿宋" w:eastAsia="仿宋" w:hAnsi="仿宋"/>
          <w:sz w:val="32"/>
          <w:szCs w:val="32"/>
        </w:rPr>
      </w:pPr>
      <w:r>
        <w:rPr>
          <w:rFonts w:ascii="仿宋" w:eastAsia="仿宋" w:hAnsi="仿宋"/>
          <w:noProof/>
          <w:sz w:val="32"/>
          <w:szCs w:val="32"/>
        </w:rPr>
        <w:drawing>
          <wp:inline distT="0" distB="0" distL="0" distR="0">
            <wp:extent cx="4770120" cy="1880235"/>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23E46" w:rsidRDefault="00363513">
      <w:pPr>
        <w:ind w:firstLineChars="200" w:firstLine="640"/>
        <w:rPr>
          <w:rFonts w:ascii="仿宋" w:eastAsia="仿宋" w:hAnsi="仿宋"/>
          <w:sz w:val="32"/>
          <w:szCs w:val="32"/>
        </w:rPr>
      </w:pPr>
      <w:r>
        <w:rPr>
          <w:rFonts w:ascii="仿宋" w:eastAsia="仿宋" w:hAnsi="仿宋" w:hint="eastAsia"/>
          <w:sz w:val="32"/>
          <w:szCs w:val="32"/>
        </w:rPr>
        <w:t>（一月结收比为52.46%；二月结收比为100%；三月结收比为88.10%；四月结收比为91.80%；五月结收比为82.89%；六月结收比为130.95%）</w:t>
      </w:r>
    </w:p>
    <w:p w:rsidR="00123E46" w:rsidRDefault="00123E46">
      <w:pPr>
        <w:ind w:firstLineChars="200" w:firstLine="640"/>
        <w:rPr>
          <w:rFonts w:ascii="仿宋" w:eastAsia="仿宋" w:hAnsi="仿宋"/>
          <w:sz w:val="32"/>
          <w:szCs w:val="32"/>
        </w:rPr>
      </w:pPr>
    </w:p>
    <w:p w:rsidR="00123E46" w:rsidRDefault="00363513">
      <w:pPr>
        <w:spacing w:line="560" w:lineRule="exact"/>
        <w:ind w:firstLineChars="200" w:firstLine="562"/>
        <w:jc w:val="center"/>
        <w:rPr>
          <w:rFonts w:ascii="仿宋" w:eastAsia="仿宋" w:hAnsi="仿宋"/>
          <w:b/>
          <w:sz w:val="28"/>
          <w:szCs w:val="28"/>
        </w:rPr>
      </w:pPr>
      <w:r>
        <w:rPr>
          <w:rFonts w:ascii="仿宋" w:eastAsia="仿宋" w:hAnsi="仿宋" w:hint="eastAsia"/>
          <w:b/>
          <w:sz w:val="28"/>
          <w:szCs w:val="28"/>
        </w:rPr>
        <w:t>图12  中院各月收结案情况  （单位：件）</w:t>
      </w:r>
    </w:p>
    <w:p w:rsidR="00123E46" w:rsidRDefault="00363513">
      <w:pPr>
        <w:spacing w:line="560" w:lineRule="exact"/>
        <w:rPr>
          <w:rFonts w:ascii="仿宋" w:eastAsia="仿宋" w:hAnsi="仿宋"/>
          <w:b/>
          <w:sz w:val="30"/>
          <w:szCs w:val="30"/>
        </w:rPr>
      </w:pPr>
      <w:r>
        <w:rPr>
          <w:rFonts w:ascii="仿宋" w:eastAsia="仿宋" w:hAnsi="仿宋" w:hint="eastAsia"/>
          <w:b/>
          <w:noProof/>
          <w:sz w:val="30"/>
          <w:szCs w:val="30"/>
        </w:rPr>
        <w:drawing>
          <wp:anchor distT="0" distB="0" distL="114300" distR="114300" simplePos="0" relativeHeight="251648000" behindDoc="0" locked="0" layoutInCell="1" allowOverlap="1">
            <wp:simplePos x="0" y="0"/>
            <wp:positionH relativeFrom="column">
              <wp:posOffset>90170</wp:posOffset>
            </wp:positionH>
            <wp:positionV relativeFrom="paragraph">
              <wp:posOffset>66675</wp:posOffset>
            </wp:positionV>
            <wp:extent cx="5253355" cy="2225675"/>
            <wp:effectExtent l="0" t="0" r="0" b="0"/>
            <wp:wrapNone/>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123E46" w:rsidRDefault="00123E46">
      <w:pPr>
        <w:spacing w:line="560" w:lineRule="exact"/>
        <w:ind w:firstLineChars="200" w:firstLine="643"/>
        <w:rPr>
          <w:rFonts w:ascii="仿宋" w:eastAsia="仿宋" w:hAnsi="仿宋"/>
          <w:b/>
          <w:sz w:val="32"/>
          <w:szCs w:val="32"/>
        </w:rPr>
      </w:pPr>
    </w:p>
    <w:p w:rsidR="00123E46" w:rsidRDefault="00123E46">
      <w:pPr>
        <w:spacing w:line="560" w:lineRule="exact"/>
        <w:ind w:firstLineChars="200" w:firstLine="643"/>
        <w:rPr>
          <w:rFonts w:ascii="仿宋" w:eastAsia="仿宋" w:hAnsi="仿宋"/>
          <w:b/>
          <w:sz w:val="32"/>
          <w:szCs w:val="32"/>
        </w:rPr>
      </w:pPr>
    </w:p>
    <w:p w:rsidR="00123E46" w:rsidRDefault="00123E46">
      <w:pPr>
        <w:spacing w:line="560" w:lineRule="exact"/>
        <w:ind w:firstLineChars="200" w:firstLine="643"/>
        <w:rPr>
          <w:rFonts w:ascii="仿宋" w:eastAsia="仿宋" w:hAnsi="仿宋"/>
          <w:b/>
          <w:sz w:val="32"/>
          <w:szCs w:val="32"/>
        </w:rPr>
      </w:pPr>
    </w:p>
    <w:p w:rsidR="00123E46" w:rsidRDefault="00123E46">
      <w:pPr>
        <w:ind w:firstLineChars="200" w:firstLine="640"/>
        <w:rPr>
          <w:rFonts w:ascii="仿宋" w:eastAsia="仿宋" w:hAnsi="仿宋"/>
          <w:sz w:val="32"/>
          <w:szCs w:val="32"/>
        </w:rPr>
      </w:pPr>
    </w:p>
    <w:p w:rsidR="00123E46" w:rsidRDefault="00123E46">
      <w:pPr>
        <w:rPr>
          <w:rFonts w:ascii="仿宋" w:eastAsia="仿宋" w:hAnsi="仿宋"/>
          <w:sz w:val="32"/>
          <w:szCs w:val="32"/>
        </w:rPr>
      </w:pPr>
    </w:p>
    <w:p w:rsidR="00123E46" w:rsidRDefault="00363513">
      <w:pPr>
        <w:rPr>
          <w:rFonts w:ascii="仿宋" w:eastAsia="仿宋" w:hAnsi="仿宋"/>
          <w:sz w:val="32"/>
          <w:szCs w:val="32"/>
        </w:rPr>
      </w:pPr>
      <w:r>
        <w:rPr>
          <w:rFonts w:ascii="仿宋" w:eastAsia="仿宋" w:hAnsi="仿宋" w:hint="eastAsia"/>
          <w:sz w:val="32"/>
          <w:szCs w:val="32"/>
        </w:rPr>
        <w:t>（一月收结比为53.33%；二月结收比为66.67%；三月结收比为150%；四月结收比为200%；五月结收比为62.5%；六月结收比为100%）</w:t>
      </w:r>
    </w:p>
    <w:p w:rsidR="00FA536E" w:rsidRDefault="00FA536E">
      <w:pPr>
        <w:rPr>
          <w:rFonts w:ascii="仿宋" w:eastAsia="仿宋" w:hAnsi="仿宋"/>
          <w:sz w:val="32"/>
          <w:szCs w:val="32"/>
        </w:rPr>
      </w:pPr>
    </w:p>
    <w:p w:rsidR="00123E46" w:rsidRDefault="00363513">
      <w:pPr>
        <w:spacing w:line="560" w:lineRule="exact"/>
        <w:ind w:firstLineChars="200" w:firstLine="562"/>
        <w:jc w:val="center"/>
        <w:rPr>
          <w:rFonts w:ascii="仿宋" w:eastAsia="仿宋" w:hAnsi="仿宋"/>
          <w:b/>
          <w:sz w:val="28"/>
          <w:szCs w:val="28"/>
        </w:rPr>
      </w:pPr>
      <w:r>
        <w:rPr>
          <w:rFonts w:ascii="仿宋" w:eastAsia="仿宋" w:hAnsi="仿宋" w:hint="eastAsia"/>
          <w:b/>
          <w:noProof/>
          <w:sz w:val="28"/>
          <w:szCs w:val="28"/>
        </w:rPr>
        <w:lastRenderedPageBreak/>
        <w:drawing>
          <wp:anchor distT="0" distB="0" distL="114300" distR="114300" simplePos="0" relativeHeight="251649024" behindDoc="0" locked="0" layoutInCell="1" allowOverlap="1">
            <wp:simplePos x="0" y="0"/>
            <wp:positionH relativeFrom="column">
              <wp:posOffset>314325</wp:posOffset>
            </wp:positionH>
            <wp:positionV relativeFrom="paragraph">
              <wp:posOffset>640715</wp:posOffset>
            </wp:positionV>
            <wp:extent cx="5227320" cy="2070100"/>
            <wp:effectExtent l="0" t="0" r="0" b="0"/>
            <wp:wrapTopAndBottom/>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仿宋" w:eastAsia="仿宋" w:hAnsi="仿宋" w:hint="eastAsia"/>
          <w:b/>
          <w:sz w:val="28"/>
          <w:szCs w:val="28"/>
        </w:rPr>
        <w:t>图13  白石山院各月收结案情况  （单位：件）</w:t>
      </w:r>
    </w:p>
    <w:p w:rsidR="00123E46" w:rsidRDefault="00363513">
      <w:pPr>
        <w:ind w:firstLineChars="200" w:firstLine="640"/>
        <w:rPr>
          <w:rFonts w:ascii="仿宋" w:eastAsia="仿宋" w:hAnsi="仿宋"/>
          <w:sz w:val="32"/>
          <w:szCs w:val="32"/>
        </w:rPr>
      </w:pPr>
      <w:r>
        <w:rPr>
          <w:rFonts w:ascii="仿宋" w:eastAsia="仿宋" w:hAnsi="仿宋" w:hint="eastAsia"/>
          <w:sz w:val="32"/>
          <w:szCs w:val="32"/>
        </w:rPr>
        <w:t>（一月结收比为40%；二月结收比为60%；三月结收比为27.27%；四月结收比为166.67%；五月结收比为100%；六月结收比为166.67%）</w:t>
      </w:r>
    </w:p>
    <w:p w:rsidR="00123E46" w:rsidRDefault="00123E46">
      <w:pPr>
        <w:spacing w:line="560" w:lineRule="exact"/>
        <w:ind w:firstLineChars="200" w:firstLine="562"/>
        <w:rPr>
          <w:rFonts w:ascii="仿宋" w:eastAsia="仿宋" w:hAnsi="仿宋"/>
          <w:b/>
          <w:sz w:val="28"/>
          <w:szCs w:val="28"/>
        </w:rPr>
      </w:pPr>
    </w:p>
    <w:p w:rsidR="00123E46" w:rsidRDefault="00363513">
      <w:pPr>
        <w:spacing w:line="560" w:lineRule="exact"/>
        <w:ind w:firstLineChars="200" w:firstLine="562"/>
        <w:jc w:val="center"/>
        <w:rPr>
          <w:rFonts w:ascii="仿宋" w:eastAsia="仿宋" w:hAnsi="仿宋"/>
          <w:b/>
          <w:sz w:val="28"/>
          <w:szCs w:val="28"/>
        </w:rPr>
      </w:pPr>
      <w:r>
        <w:rPr>
          <w:rFonts w:ascii="仿宋" w:eastAsia="仿宋" w:hAnsi="仿宋" w:hint="eastAsia"/>
          <w:b/>
          <w:sz w:val="28"/>
          <w:szCs w:val="28"/>
        </w:rPr>
        <w:t>图14  红石院各月收结案情况   （单位：件）</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noProof/>
          <w:sz w:val="32"/>
          <w:szCs w:val="32"/>
        </w:rPr>
        <w:drawing>
          <wp:anchor distT="0" distB="0" distL="114300" distR="114300" simplePos="0" relativeHeight="251650048" behindDoc="1" locked="0" layoutInCell="1" allowOverlap="1">
            <wp:simplePos x="0" y="0"/>
            <wp:positionH relativeFrom="column">
              <wp:posOffset>99060</wp:posOffset>
            </wp:positionH>
            <wp:positionV relativeFrom="paragraph">
              <wp:posOffset>83820</wp:posOffset>
            </wp:positionV>
            <wp:extent cx="5400040" cy="2156460"/>
            <wp:effectExtent l="0" t="0" r="0" b="0"/>
            <wp:wrapNone/>
            <wp:docPr id="29"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123E46" w:rsidRDefault="00123E46">
      <w:pPr>
        <w:spacing w:line="560" w:lineRule="exact"/>
        <w:ind w:firstLineChars="200" w:firstLine="643"/>
        <w:rPr>
          <w:rFonts w:ascii="仿宋" w:eastAsia="仿宋" w:hAnsi="仿宋"/>
          <w:b/>
          <w:sz w:val="32"/>
          <w:szCs w:val="32"/>
        </w:rPr>
      </w:pPr>
    </w:p>
    <w:p w:rsidR="00123E46" w:rsidRDefault="00123E46">
      <w:pPr>
        <w:spacing w:line="560" w:lineRule="exact"/>
        <w:ind w:firstLineChars="200" w:firstLine="643"/>
        <w:rPr>
          <w:rFonts w:ascii="仿宋" w:eastAsia="仿宋" w:hAnsi="仿宋"/>
          <w:b/>
          <w:sz w:val="32"/>
          <w:szCs w:val="32"/>
        </w:rPr>
      </w:pPr>
    </w:p>
    <w:p w:rsidR="00123E46" w:rsidRDefault="00123E46">
      <w:pPr>
        <w:spacing w:line="560" w:lineRule="exact"/>
        <w:ind w:firstLineChars="200" w:firstLine="562"/>
        <w:jc w:val="center"/>
        <w:rPr>
          <w:rFonts w:ascii="仿宋" w:eastAsia="仿宋" w:hAnsi="仿宋"/>
          <w:b/>
          <w:sz w:val="28"/>
          <w:szCs w:val="28"/>
        </w:rPr>
      </w:pPr>
    </w:p>
    <w:p w:rsidR="00123E46" w:rsidRDefault="00123E46">
      <w:pPr>
        <w:spacing w:line="560" w:lineRule="exact"/>
        <w:ind w:firstLineChars="200" w:firstLine="562"/>
        <w:jc w:val="center"/>
        <w:rPr>
          <w:rFonts w:ascii="仿宋" w:eastAsia="仿宋" w:hAnsi="仿宋"/>
          <w:b/>
          <w:sz w:val="28"/>
          <w:szCs w:val="28"/>
        </w:rPr>
      </w:pPr>
    </w:p>
    <w:p w:rsidR="00123E46" w:rsidRDefault="00123E46">
      <w:pPr>
        <w:ind w:firstLineChars="200" w:firstLine="640"/>
        <w:rPr>
          <w:rFonts w:ascii="仿宋" w:eastAsia="仿宋" w:hAnsi="仿宋"/>
          <w:sz w:val="32"/>
          <w:szCs w:val="32"/>
        </w:rPr>
      </w:pPr>
    </w:p>
    <w:p w:rsidR="00123E46" w:rsidRDefault="00363513" w:rsidP="00FA536E">
      <w:pPr>
        <w:ind w:firstLineChars="200" w:firstLine="640"/>
        <w:rPr>
          <w:rFonts w:ascii="仿宋" w:eastAsia="仿宋" w:hAnsi="仿宋"/>
          <w:sz w:val="32"/>
          <w:szCs w:val="32"/>
        </w:rPr>
      </w:pPr>
      <w:r>
        <w:rPr>
          <w:rFonts w:ascii="仿宋" w:eastAsia="仿宋" w:hAnsi="仿宋" w:hint="eastAsia"/>
          <w:sz w:val="32"/>
          <w:szCs w:val="32"/>
        </w:rPr>
        <w:t>（一月结收比为88.89%；二月结收比为84%；三月结收比为120%；四月结收比为240%；五月结收比为46.15%；六月结收比为45.45%）</w:t>
      </w:r>
    </w:p>
    <w:p w:rsidR="00123E46" w:rsidRDefault="00123E46">
      <w:pPr>
        <w:ind w:firstLineChars="200" w:firstLine="640"/>
        <w:rPr>
          <w:rFonts w:ascii="仿宋" w:eastAsia="仿宋" w:hAnsi="仿宋"/>
          <w:sz w:val="32"/>
          <w:szCs w:val="32"/>
        </w:rPr>
      </w:pPr>
    </w:p>
    <w:p w:rsidR="00013E9F" w:rsidRDefault="00013E9F">
      <w:pPr>
        <w:ind w:firstLineChars="200" w:firstLine="640"/>
        <w:rPr>
          <w:rFonts w:ascii="仿宋" w:eastAsia="仿宋" w:hAnsi="仿宋"/>
          <w:sz w:val="32"/>
          <w:szCs w:val="32"/>
        </w:rPr>
      </w:pPr>
    </w:p>
    <w:p w:rsidR="00123E46" w:rsidRDefault="00363513">
      <w:pPr>
        <w:spacing w:line="560" w:lineRule="exact"/>
        <w:ind w:firstLineChars="200" w:firstLine="562"/>
        <w:jc w:val="center"/>
        <w:rPr>
          <w:rFonts w:ascii="仿宋" w:eastAsia="仿宋" w:hAnsi="仿宋"/>
          <w:b/>
          <w:sz w:val="28"/>
          <w:szCs w:val="28"/>
        </w:rPr>
      </w:pPr>
      <w:r>
        <w:rPr>
          <w:rFonts w:ascii="仿宋" w:eastAsia="仿宋" w:hAnsi="仿宋" w:hint="eastAsia"/>
          <w:b/>
          <w:sz w:val="28"/>
          <w:szCs w:val="28"/>
        </w:rPr>
        <w:lastRenderedPageBreak/>
        <w:t>图15  临江院各月收结案情况   （单位：件）</w:t>
      </w:r>
    </w:p>
    <w:p w:rsidR="00123E46" w:rsidRDefault="00363513">
      <w:pPr>
        <w:spacing w:line="560" w:lineRule="exact"/>
        <w:ind w:firstLineChars="200" w:firstLine="602"/>
        <w:jc w:val="center"/>
        <w:rPr>
          <w:rFonts w:ascii="仿宋" w:eastAsia="仿宋" w:hAnsi="仿宋"/>
          <w:b/>
          <w:sz w:val="30"/>
          <w:szCs w:val="30"/>
        </w:rPr>
      </w:pPr>
      <w:r>
        <w:rPr>
          <w:rFonts w:ascii="仿宋" w:eastAsia="仿宋" w:hAnsi="仿宋" w:hint="eastAsia"/>
          <w:b/>
          <w:noProof/>
          <w:sz w:val="30"/>
          <w:szCs w:val="30"/>
        </w:rPr>
        <w:drawing>
          <wp:anchor distT="0" distB="0" distL="114300" distR="114300" simplePos="0" relativeHeight="251651072" behindDoc="0" locked="0" layoutInCell="1" allowOverlap="1">
            <wp:simplePos x="0" y="0"/>
            <wp:positionH relativeFrom="column">
              <wp:posOffset>193675</wp:posOffset>
            </wp:positionH>
            <wp:positionV relativeFrom="paragraph">
              <wp:posOffset>238125</wp:posOffset>
            </wp:positionV>
            <wp:extent cx="5305425" cy="2432685"/>
            <wp:effectExtent l="0" t="0" r="0" b="0"/>
            <wp:wrapNone/>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123E46" w:rsidRDefault="00123E46">
      <w:pPr>
        <w:spacing w:line="560" w:lineRule="exact"/>
        <w:ind w:firstLineChars="200" w:firstLine="643"/>
        <w:rPr>
          <w:rFonts w:ascii="仿宋" w:eastAsia="仿宋" w:hAnsi="仿宋"/>
          <w:b/>
          <w:sz w:val="32"/>
          <w:szCs w:val="32"/>
        </w:rPr>
      </w:pPr>
    </w:p>
    <w:p w:rsidR="00123E46" w:rsidRDefault="00123E46">
      <w:pPr>
        <w:spacing w:line="560" w:lineRule="exact"/>
        <w:ind w:firstLineChars="200" w:firstLine="643"/>
        <w:rPr>
          <w:rFonts w:ascii="仿宋" w:eastAsia="仿宋" w:hAnsi="仿宋"/>
          <w:b/>
          <w:sz w:val="32"/>
          <w:szCs w:val="32"/>
        </w:rPr>
      </w:pPr>
    </w:p>
    <w:p w:rsidR="00123E46" w:rsidRDefault="00123E46">
      <w:pPr>
        <w:spacing w:line="560" w:lineRule="exact"/>
        <w:ind w:firstLineChars="200" w:firstLine="643"/>
        <w:rPr>
          <w:rFonts w:ascii="仿宋" w:eastAsia="仿宋" w:hAnsi="仿宋"/>
          <w:b/>
          <w:sz w:val="32"/>
          <w:szCs w:val="32"/>
        </w:rPr>
      </w:pPr>
    </w:p>
    <w:p w:rsidR="00123E46" w:rsidRDefault="00123E46">
      <w:pPr>
        <w:spacing w:line="560" w:lineRule="exact"/>
        <w:ind w:firstLineChars="200" w:firstLine="643"/>
        <w:rPr>
          <w:rFonts w:ascii="仿宋" w:eastAsia="仿宋" w:hAnsi="仿宋"/>
          <w:b/>
          <w:sz w:val="32"/>
          <w:szCs w:val="32"/>
        </w:rPr>
      </w:pPr>
    </w:p>
    <w:p w:rsidR="00123E46" w:rsidRDefault="00123E46">
      <w:pPr>
        <w:spacing w:line="560" w:lineRule="exact"/>
        <w:rPr>
          <w:rFonts w:ascii="仿宋" w:eastAsia="仿宋" w:hAnsi="仿宋"/>
          <w:b/>
          <w:sz w:val="32"/>
          <w:szCs w:val="32"/>
        </w:rPr>
      </w:pPr>
    </w:p>
    <w:p w:rsidR="00123E46" w:rsidRDefault="00123E46">
      <w:pPr>
        <w:ind w:firstLineChars="200" w:firstLine="640"/>
        <w:rPr>
          <w:rFonts w:ascii="仿宋" w:eastAsia="仿宋" w:hAnsi="仿宋"/>
          <w:sz w:val="32"/>
          <w:szCs w:val="32"/>
        </w:rPr>
      </w:pPr>
    </w:p>
    <w:p w:rsidR="00123E46" w:rsidRDefault="00123E46">
      <w:pPr>
        <w:ind w:firstLineChars="200" w:firstLine="640"/>
        <w:rPr>
          <w:rFonts w:ascii="仿宋" w:eastAsia="仿宋" w:hAnsi="仿宋"/>
          <w:sz w:val="32"/>
          <w:szCs w:val="32"/>
        </w:rPr>
      </w:pPr>
    </w:p>
    <w:p w:rsidR="00123E46" w:rsidRDefault="00363513">
      <w:pPr>
        <w:ind w:firstLineChars="200" w:firstLine="640"/>
        <w:rPr>
          <w:rFonts w:ascii="仿宋" w:eastAsia="仿宋" w:hAnsi="仿宋"/>
          <w:sz w:val="32"/>
          <w:szCs w:val="32"/>
        </w:rPr>
      </w:pPr>
      <w:r>
        <w:rPr>
          <w:rFonts w:ascii="仿宋" w:eastAsia="仿宋" w:hAnsi="仿宋" w:hint="eastAsia"/>
          <w:sz w:val="32"/>
          <w:szCs w:val="32"/>
        </w:rPr>
        <w:t>（一月结收比为66.67%%；二月结收比为100%；三月结收比为100%；四月结收比为116.67%；五月结收比为77.78%；六月结收比为112.5%）</w:t>
      </w:r>
    </w:p>
    <w:p w:rsidR="00123E46" w:rsidRDefault="00123E46">
      <w:pPr>
        <w:ind w:firstLineChars="200" w:firstLine="640"/>
        <w:rPr>
          <w:rFonts w:ascii="仿宋" w:eastAsia="仿宋" w:hAnsi="仿宋"/>
          <w:sz w:val="32"/>
          <w:szCs w:val="32"/>
        </w:rPr>
      </w:pPr>
    </w:p>
    <w:p w:rsidR="00123E46" w:rsidRDefault="00363513">
      <w:pPr>
        <w:spacing w:line="560" w:lineRule="exact"/>
        <w:ind w:firstLineChars="200" w:firstLine="562"/>
        <w:jc w:val="center"/>
        <w:rPr>
          <w:rFonts w:ascii="仿宋" w:eastAsia="仿宋" w:hAnsi="仿宋"/>
          <w:b/>
          <w:sz w:val="28"/>
          <w:szCs w:val="28"/>
        </w:rPr>
      </w:pPr>
      <w:r>
        <w:rPr>
          <w:rFonts w:ascii="仿宋" w:eastAsia="仿宋" w:hAnsi="仿宋" w:hint="eastAsia"/>
          <w:b/>
          <w:sz w:val="28"/>
          <w:szCs w:val="28"/>
        </w:rPr>
        <w:t>图16  抚松院各月收结案情况   （单位：件）</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noProof/>
          <w:sz w:val="32"/>
          <w:szCs w:val="32"/>
        </w:rPr>
        <w:drawing>
          <wp:anchor distT="0" distB="0" distL="114300" distR="114300" simplePos="0" relativeHeight="251652096" behindDoc="0" locked="0" layoutInCell="1" allowOverlap="1">
            <wp:simplePos x="0" y="0"/>
            <wp:positionH relativeFrom="column">
              <wp:posOffset>254000</wp:posOffset>
            </wp:positionH>
            <wp:positionV relativeFrom="paragraph">
              <wp:posOffset>69850</wp:posOffset>
            </wp:positionV>
            <wp:extent cx="5400040" cy="1759585"/>
            <wp:effectExtent l="0" t="0" r="0" b="0"/>
            <wp:wrapNone/>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123E46" w:rsidRDefault="00123E46">
      <w:pPr>
        <w:spacing w:line="560" w:lineRule="exact"/>
        <w:ind w:firstLineChars="200" w:firstLine="643"/>
        <w:rPr>
          <w:rFonts w:ascii="仿宋" w:eastAsia="仿宋" w:hAnsi="仿宋"/>
          <w:b/>
          <w:sz w:val="32"/>
          <w:szCs w:val="32"/>
        </w:rPr>
      </w:pPr>
    </w:p>
    <w:p w:rsidR="00123E46" w:rsidRDefault="00123E46">
      <w:pPr>
        <w:spacing w:line="560" w:lineRule="exact"/>
        <w:ind w:firstLineChars="200" w:firstLine="643"/>
        <w:rPr>
          <w:rFonts w:ascii="仿宋" w:eastAsia="仿宋" w:hAnsi="仿宋"/>
          <w:b/>
          <w:sz w:val="32"/>
          <w:szCs w:val="32"/>
        </w:rPr>
      </w:pPr>
    </w:p>
    <w:p w:rsidR="00123E46" w:rsidRDefault="00123E46">
      <w:pPr>
        <w:spacing w:line="560" w:lineRule="exact"/>
        <w:ind w:firstLineChars="200" w:firstLine="643"/>
        <w:rPr>
          <w:rFonts w:ascii="仿宋" w:eastAsia="仿宋" w:hAnsi="仿宋"/>
          <w:b/>
          <w:sz w:val="32"/>
          <w:szCs w:val="32"/>
        </w:rPr>
      </w:pPr>
    </w:p>
    <w:p w:rsidR="00123E46" w:rsidRDefault="00123E46">
      <w:pPr>
        <w:spacing w:line="560" w:lineRule="exact"/>
        <w:ind w:firstLineChars="200" w:firstLine="643"/>
        <w:rPr>
          <w:rFonts w:ascii="仿宋" w:eastAsia="仿宋" w:hAnsi="仿宋"/>
          <w:b/>
          <w:sz w:val="32"/>
          <w:szCs w:val="32"/>
        </w:rPr>
      </w:pPr>
    </w:p>
    <w:p w:rsidR="00123E46" w:rsidRDefault="00363513">
      <w:pPr>
        <w:ind w:firstLineChars="200" w:firstLine="640"/>
        <w:rPr>
          <w:rFonts w:ascii="仿宋" w:eastAsia="仿宋" w:hAnsi="仿宋"/>
          <w:sz w:val="32"/>
          <w:szCs w:val="32"/>
        </w:rPr>
      </w:pPr>
      <w:r>
        <w:rPr>
          <w:rFonts w:ascii="仿宋" w:eastAsia="仿宋" w:hAnsi="仿宋" w:hint="eastAsia"/>
          <w:sz w:val="32"/>
          <w:szCs w:val="32"/>
        </w:rPr>
        <w:t>（一月结收比为47.37%；二月结收比为128.57%；三月结收比为110%；四月结收比为63.64%；五月结收比为105.26%；六月结收比为162.5%）</w:t>
      </w:r>
    </w:p>
    <w:p w:rsidR="00123E46" w:rsidRDefault="00123E46">
      <w:pPr>
        <w:ind w:firstLineChars="200" w:firstLine="640"/>
        <w:rPr>
          <w:rFonts w:ascii="仿宋" w:eastAsia="仿宋" w:hAnsi="仿宋"/>
          <w:sz w:val="32"/>
          <w:szCs w:val="32"/>
        </w:rPr>
      </w:pPr>
    </w:p>
    <w:p w:rsidR="00123E46" w:rsidRDefault="00363513">
      <w:pPr>
        <w:spacing w:line="560" w:lineRule="exact"/>
        <w:ind w:firstLineChars="200" w:firstLine="562"/>
        <w:jc w:val="center"/>
        <w:rPr>
          <w:rFonts w:ascii="仿宋" w:eastAsia="仿宋" w:hAnsi="仿宋"/>
          <w:b/>
          <w:sz w:val="28"/>
          <w:szCs w:val="28"/>
        </w:rPr>
      </w:pPr>
      <w:r>
        <w:rPr>
          <w:rFonts w:ascii="仿宋" w:eastAsia="仿宋" w:hAnsi="仿宋" w:hint="eastAsia"/>
          <w:b/>
          <w:sz w:val="28"/>
          <w:szCs w:val="28"/>
        </w:rPr>
        <w:lastRenderedPageBreak/>
        <w:t>图17  江源院各月收结案情况   （单位：件）</w:t>
      </w:r>
    </w:p>
    <w:p w:rsidR="00123E46" w:rsidRDefault="00363513">
      <w:pPr>
        <w:spacing w:line="560" w:lineRule="exact"/>
        <w:ind w:firstLineChars="200" w:firstLine="602"/>
        <w:jc w:val="center"/>
        <w:rPr>
          <w:rFonts w:ascii="仿宋" w:eastAsia="仿宋" w:hAnsi="仿宋"/>
          <w:b/>
          <w:sz w:val="30"/>
          <w:szCs w:val="30"/>
        </w:rPr>
      </w:pPr>
      <w:r>
        <w:rPr>
          <w:rFonts w:ascii="仿宋" w:eastAsia="仿宋" w:hAnsi="仿宋" w:hint="eastAsia"/>
          <w:b/>
          <w:noProof/>
          <w:sz w:val="30"/>
          <w:szCs w:val="30"/>
        </w:rPr>
        <w:drawing>
          <wp:anchor distT="0" distB="0" distL="114300" distR="114300" simplePos="0" relativeHeight="251653120" behindDoc="0" locked="0" layoutInCell="1" allowOverlap="1">
            <wp:simplePos x="0" y="0"/>
            <wp:positionH relativeFrom="column">
              <wp:posOffset>426720</wp:posOffset>
            </wp:positionH>
            <wp:positionV relativeFrom="paragraph">
              <wp:posOffset>118745</wp:posOffset>
            </wp:positionV>
            <wp:extent cx="4641215" cy="1863090"/>
            <wp:effectExtent l="0" t="0" r="0" b="0"/>
            <wp:wrapNone/>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123E46" w:rsidRDefault="00123E46">
      <w:pPr>
        <w:spacing w:line="560" w:lineRule="exact"/>
        <w:ind w:firstLineChars="200" w:firstLine="602"/>
        <w:jc w:val="center"/>
        <w:rPr>
          <w:rFonts w:ascii="仿宋" w:eastAsia="仿宋" w:hAnsi="仿宋"/>
          <w:b/>
          <w:sz w:val="30"/>
          <w:szCs w:val="30"/>
        </w:rPr>
      </w:pPr>
    </w:p>
    <w:p w:rsidR="00123E46" w:rsidRDefault="00123E46">
      <w:pPr>
        <w:spacing w:line="560" w:lineRule="exact"/>
        <w:ind w:firstLineChars="200" w:firstLine="602"/>
        <w:jc w:val="center"/>
        <w:rPr>
          <w:rFonts w:ascii="仿宋" w:eastAsia="仿宋" w:hAnsi="仿宋"/>
          <w:b/>
          <w:sz w:val="30"/>
          <w:szCs w:val="30"/>
        </w:rPr>
      </w:pPr>
    </w:p>
    <w:p w:rsidR="00123E46" w:rsidRDefault="00123E46">
      <w:pPr>
        <w:spacing w:line="560" w:lineRule="exact"/>
        <w:ind w:firstLineChars="200" w:firstLine="602"/>
        <w:jc w:val="center"/>
        <w:rPr>
          <w:rFonts w:ascii="仿宋" w:eastAsia="仿宋" w:hAnsi="仿宋"/>
          <w:b/>
          <w:sz w:val="30"/>
          <w:szCs w:val="30"/>
        </w:rPr>
      </w:pPr>
    </w:p>
    <w:p w:rsidR="00123E46" w:rsidRDefault="00123E46">
      <w:pPr>
        <w:spacing w:line="560" w:lineRule="exact"/>
        <w:rPr>
          <w:rFonts w:ascii="仿宋" w:eastAsia="仿宋" w:hAnsi="仿宋"/>
          <w:b/>
          <w:sz w:val="30"/>
          <w:szCs w:val="30"/>
        </w:rPr>
      </w:pPr>
    </w:p>
    <w:p w:rsidR="00123E46" w:rsidRDefault="00123E46">
      <w:pPr>
        <w:spacing w:line="560" w:lineRule="exact"/>
        <w:rPr>
          <w:rFonts w:ascii="仿宋" w:eastAsia="仿宋" w:hAnsi="仿宋"/>
          <w:b/>
          <w:sz w:val="32"/>
          <w:szCs w:val="32"/>
        </w:rPr>
      </w:pPr>
    </w:p>
    <w:p w:rsidR="00123E46" w:rsidRDefault="00363513">
      <w:pPr>
        <w:ind w:firstLineChars="200" w:firstLine="640"/>
        <w:rPr>
          <w:rFonts w:ascii="仿宋" w:eastAsia="仿宋" w:hAnsi="仿宋"/>
          <w:sz w:val="32"/>
          <w:szCs w:val="32"/>
        </w:rPr>
      </w:pPr>
      <w:r>
        <w:rPr>
          <w:rFonts w:ascii="仿宋" w:eastAsia="仿宋" w:hAnsi="仿宋" w:hint="eastAsia"/>
          <w:sz w:val="32"/>
          <w:szCs w:val="32"/>
        </w:rPr>
        <w:t>（一月</w:t>
      </w:r>
      <w:r w:rsidR="007D0D99">
        <w:rPr>
          <w:rFonts w:ascii="仿宋" w:eastAsia="仿宋" w:hAnsi="仿宋" w:hint="eastAsia"/>
          <w:sz w:val="32"/>
          <w:szCs w:val="32"/>
        </w:rPr>
        <w:t>结收</w:t>
      </w:r>
      <w:r>
        <w:rPr>
          <w:rFonts w:ascii="仿宋" w:eastAsia="仿宋" w:hAnsi="仿宋" w:hint="eastAsia"/>
          <w:sz w:val="32"/>
          <w:szCs w:val="32"/>
        </w:rPr>
        <w:t>比为30%；二月</w:t>
      </w:r>
      <w:r w:rsidR="007D0D99">
        <w:rPr>
          <w:rFonts w:ascii="仿宋" w:eastAsia="仿宋" w:hAnsi="仿宋" w:hint="eastAsia"/>
          <w:sz w:val="32"/>
          <w:szCs w:val="32"/>
        </w:rPr>
        <w:t>结收</w:t>
      </w:r>
      <w:r>
        <w:rPr>
          <w:rFonts w:ascii="仿宋" w:eastAsia="仿宋" w:hAnsi="仿宋" w:hint="eastAsia"/>
          <w:sz w:val="32"/>
          <w:szCs w:val="32"/>
        </w:rPr>
        <w:t>比为333.33%；三月结</w:t>
      </w:r>
      <w:r w:rsidR="007D0D99">
        <w:rPr>
          <w:rFonts w:ascii="仿宋" w:eastAsia="仿宋" w:hAnsi="仿宋" w:hint="eastAsia"/>
          <w:sz w:val="32"/>
          <w:szCs w:val="32"/>
        </w:rPr>
        <w:t>收</w:t>
      </w:r>
      <w:r>
        <w:rPr>
          <w:rFonts w:ascii="仿宋" w:eastAsia="仿宋" w:hAnsi="仿宋" w:hint="eastAsia"/>
          <w:sz w:val="32"/>
          <w:szCs w:val="32"/>
        </w:rPr>
        <w:t>比为80%；四月结收比为17.65%；五月结收比为100%；六月结收比为228.57%）</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六、两级法院未结审判类案件情况</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截至2018年6月30日，两级法院未结审判类案件74件，与2017年</w:t>
      </w:r>
      <w:r w:rsidR="004E4326">
        <w:rPr>
          <w:rFonts w:ascii="仿宋" w:eastAsia="仿宋" w:hAnsi="仿宋" w:hint="eastAsia"/>
          <w:sz w:val="32"/>
          <w:szCs w:val="32"/>
        </w:rPr>
        <w:t>同期未结</w:t>
      </w:r>
      <w:r>
        <w:rPr>
          <w:rFonts w:ascii="仿宋" w:eastAsia="仿宋" w:hAnsi="仿宋" w:hint="eastAsia"/>
          <w:sz w:val="32"/>
          <w:szCs w:val="32"/>
        </w:rPr>
        <w:t>的84件相比，减少10件，下降11.90%。</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(一) 各院未结案件占两级法院比例情况</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按未结案件占两级法院未结案件的比例排序，</w:t>
      </w:r>
      <w:r w:rsidR="002C22DA">
        <w:rPr>
          <w:rFonts w:ascii="仿宋" w:eastAsia="仿宋" w:hAnsi="仿宋" w:hint="eastAsia"/>
          <w:sz w:val="32"/>
          <w:szCs w:val="32"/>
        </w:rPr>
        <w:t>由高到低分别</w:t>
      </w:r>
      <w:r>
        <w:rPr>
          <w:rFonts w:ascii="仿宋" w:eastAsia="仿宋" w:hAnsi="仿宋" w:hint="eastAsia"/>
          <w:sz w:val="32"/>
          <w:szCs w:val="32"/>
        </w:rPr>
        <w:t>为</w:t>
      </w:r>
      <w:r w:rsidR="00FC2782">
        <w:rPr>
          <w:rFonts w:ascii="仿宋" w:eastAsia="仿宋" w:hAnsi="仿宋" w:hint="eastAsia"/>
          <w:sz w:val="32"/>
          <w:szCs w:val="32"/>
        </w:rPr>
        <w:t>：</w:t>
      </w:r>
      <w:r>
        <w:rPr>
          <w:rFonts w:ascii="仿宋" w:eastAsia="仿宋" w:hAnsi="仿宋" w:hint="eastAsia"/>
          <w:sz w:val="32"/>
          <w:szCs w:val="32"/>
        </w:rPr>
        <w:t>红石院33.78%、抚松院17.57%、中院13.51%、白石山院12.16%、江源院12.16%、临江院10.81%。各院未结案件占两级法院比例情况如图18所示：</w:t>
      </w:r>
    </w:p>
    <w:p w:rsidR="00E71DEA" w:rsidRDefault="00E71DEA" w:rsidP="00E71DEA">
      <w:pPr>
        <w:ind w:firstLineChars="200" w:firstLine="640"/>
        <w:jc w:val="center"/>
        <w:rPr>
          <w:rFonts w:ascii="仿宋" w:eastAsia="仿宋" w:hAnsi="仿宋"/>
          <w:sz w:val="32"/>
          <w:szCs w:val="32"/>
        </w:rPr>
      </w:pPr>
    </w:p>
    <w:p w:rsidR="002C22DA" w:rsidRDefault="002C22DA" w:rsidP="00E71DEA">
      <w:pPr>
        <w:ind w:firstLineChars="200" w:firstLine="640"/>
        <w:jc w:val="center"/>
        <w:rPr>
          <w:rFonts w:ascii="仿宋" w:eastAsia="仿宋" w:hAnsi="仿宋"/>
          <w:sz w:val="32"/>
          <w:szCs w:val="32"/>
        </w:rPr>
      </w:pPr>
    </w:p>
    <w:p w:rsidR="002C22DA" w:rsidRDefault="002C22DA" w:rsidP="00E71DEA">
      <w:pPr>
        <w:ind w:firstLineChars="200" w:firstLine="640"/>
        <w:jc w:val="center"/>
        <w:rPr>
          <w:rFonts w:ascii="仿宋" w:eastAsia="仿宋" w:hAnsi="仿宋"/>
          <w:sz w:val="32"/>
          <w:szCs w:val="32"/>
        </w:rPr>
      </w:pPr>
    </w:p>
    <w:p w:rsidR="002C22DA" w:rsidRDefault="002C22DA" w:rsidP="00E71DEA">
      <w:pPr>
        <w:ind w:firstLineChars="200" w:firstLine="640"/>
        <w:jc w:val="center"/>
        <w:rPr>
          <w:rFonts w:ascii="仿宋" w:eastAsia="仿宋" w:hAnsi="仿宋"/>
          <w:sz w:val="32"/>
          <w:szCs w:val="32"/>
        </w:rPr>
      </w:pPr>
    </w:p>
    <w:p w:rsidR="002C22DA" w:rsidRDefault="002C22DA" w:rsidP="00E71DEA">
      <w:pPr>
        <w:ind w:firstLineChars="200" w:firstLine="640"/>
        <w:jc w:val="center"/>
        <w:rPr>
          <w:rFonts w:ascii="仿宋" w:eastAsia="仿宋" w:hAnsi="仿宋"/>
          <w:sz w:val="32"/>
          <w:szCs w:val="32"/>
        </w:rPr>
      </w:pPr>
    </w:p>
    <w:p w:rsidR="002C22DA" w:rsidRDefault="002C22DA" w:rsidP="00E71DEA">
      <w:pPr>
        <w:ind w:firstLineChars="200" w:firstLine="640"/>
        <w:jc w:val="center"/>
        <w:rPr>
          <w:rFonts w:ascii="仿宋" w:eastAsia="仿宋" w:hAnsi="仿宋"/>
          <w:sz w:val="32"/>
          <w:szCs w:val="32"/>
        </w:rPr>
      </w:pPr>
    </w:p>
    <w:p w:rsidR="00123E46" w:rsidRDefault="00363513" w:rsidP="00E71DEA">
      <w:pPr>
        <w:ind w:firstLineChars="200" w:firstLine="562"/>
        <w:jc w:val="center"/>
        <w:rPr>
          <w:rFonts w:ascii="仿宋" w:eastAsia="仿宋" w:hAnsi="仿宋"/>
          <w:b/>
          <w:sz w:val="28"/>
          <w:szCs w:val="28"/>
        </w:rPr>
      </w:pPr>
      <w:r>
        <w:rPr>
          <w:rFonts w:ascii="仿宋" w:eastAsia="仿宋" w:hAnsi="仿宋" w:hint="eastAsia"/>
          <w:b/>
          <w:sz w:val="28"/>
          <w:szCs w:val="28"/>
        </w:rPr>
        <w:lastRenderedPageBreak/>
        <w:t>图18  各院未结案件占两级法院比例情况</w:t>
      </w:r>
    </w:p>
    <w:p w:rsidR="00123E46" w:rsidRDefault="00363513">
      <w:pPr>
        <w:spacing w:line="360" w:lineRule="auto"/>
        <w:ind w:firstLineChars="200" w:firstLine="640"/>
        <w:jc w:val="center"/>
        <w:rPr>
          <w:rFonts w:ascii="仿宋" w:eastAsia="仿宋" w:hAnsi="仿宋"/>
          <w:sz w:val="32"/>
          <w:szCs w:val="32"/>
        </w:rPr>
      </w:pPr>
      <w:r>
        <w:rPr>
          <w:rFonts w:ascii="仿宋" w:eastAsia="仿宋" w:hAnsi="仿宋"/>
          <w:noProof/>
          <w:sz w:val="32"/>
          <w:szCs w:val="32"/>
        </w:rPr>
        <w:drawing>
          <wp:inline distT="0" distB="0" distL="0" distR="0">
            <wp:extent cx="5001260" cy="2625090"/>
            <wp:effectExtent l="0" t="0" r="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（二）各院未结审判类案件同比情况</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2018年上半年与2017年</w:t>
      </w:r>
      <w:r w:rsidR="002C22DA">
        <w:rPr>
          <w:rFonts w:ascii="仿宋" w:eastAsia="仿宋" w:hAnsi="仿宋" w:hint="eastAsia"/>
          <w:sz w:val="32"/>
          <w:szCs w:val="32"/>
        </w:rPr>
        <w:t>同期</w:t>
      </w:r>
      <w:r>
        <w:rPr>
          <w:rFonts w:ascii="仿宋" w:eastAsia="仿宋" w:hAnsi="仿宋" w:hint="eastAsia"/>
          <w:sz w:val="32"/>
          <w:szCs w:val="32"/>
        </w:rPr>
        <w:t>相比，除红石院和临江院未结案件有所上升外，其他各院未结案件均有所下降。各院未结审判类案件同比情况如图19所示：</w:t>
      </w:r>
    </w:p>
    <w:p w:rsidR="000E4D84" w:rsidRDefault="000E4D84">
      <w:pPr>
        <w:ind w:firstLineChars="200" w:firstLine="562"/>
        <w:jc w:val="center"/>
        <w:rPr>
          <w:rFonts w:ascii="仿宋" w:eastAsia="仿宋" w:hAnsi="仿宋"/>
          <w:b/>
          <w:sz w:val="28"/>
          <w:szCs w:val="32"/>
        </w:rPr>
      </w:pPr>
    </w:p>
    <w:p w:rsidR="00123E46" w:rsidRDefault="00363513">
      <w:pPr>
        <w:ind w:firstLineChars="200" w:firstLine="562"/>
        <w:jc w:val="center"/>
        <w:rPr>
          <w:rFonts w:ascii="仿宋" w:eastAsia="仿宋" w:hAnsi="仿宋"/>
          <w:b/>
          <w:sz w:val="28"/>
          <w:szCs w:val="32"/>
        </w:rPr>
      </w:pPr>
      <w:r>
        <w:rPr>
          <w:rFonts w:ascii="仿宋" w:eastAsia="仿宋" w:hAnsi="仿宋" w:hint="eastAsia"/>
          <w:b/>
          <w:sz w:val="28"/>
          <w:szCs w:val="32"/>
        </w:rPr>
        <w:t>图19   各院未结审判类案件同比情况  （单位：件）</w:t>
      </w:r>
    </w:p>
    <w:p w:rsidR="00123E46" w:rsidRDefault="00363513">
      <w:pPr>
        <w:ind w:firstLineChars="200" w:firstLine="640"/>
        <w:rPr>
          <w:rFonts w:ascii="仿宋" w:eastAsia="仿宋" w:hAnsi="仿宋"/>
          <w:sz w:val="32"/>
          <w:szCs w:val="32"/>
        </w:rPr>
      </w:pPr>
      <w:r>
        <w:rPr>
          <w:rFonts w:ascii="仿宋" w:eastAsia="仿宋" w:hAnsi="仿宋" w:hint="eastAsia"/>
          <w:noProof/>
          <w:sz w:val="32"/>
          <w:szCs w:val="32"/>
        </w:rPr>
        <w:drawing>
          <wp:inline distT="0" distB="0" distL="0" distR="0">
            <wp:extent cx="5123815" cy="222504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七、长期未结诉讼案件情况</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截至2018年6月30日，两级法院审理时间超过一年（自立案之日起计算，不考虑扣除审限情况）的未结诉讼案件共</w:t>
      </w:r>
      <w:r>
        <w:rPr>
          <w:rFonts w:ascii="仿宋" w:eastAsia="仿宋" w:hAnsi="仿宋" w:hint="eastAsia"/>
          <w:sz w:val="32"/>
          <w:szCs w:val="32"/>
        </w:rPr>
        <w:lastRenderedPageBreak/>
        <w:t>1件，为红石院的（2017）吉7603民初28号，立案日期为2017年4月24日，该案未结原因为被告人涉嫌犯罪在南京羁押，当地规定不允许向在押人员送达司法文书。</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超过六个月未结案件共9件</w:t>
      </w:r>
      <w:r>
        <w:rPr>
          <w:rStyle w:val="a8"/>
          <w:rFonts w:ascii="仿宋" w:eastAsia="仿宋" w:hAnsi="仿宋"/>
          <w:sz w:val="32"/>
          <w:szCs w:val="32"/>
        </w:rPr>
        <w:footnoteReference w:id="2"/>
      </w:r>
      <w:r>
        <w:rPr>
          <w:rFonts w:ascii="仿宋" w:eastAsia="仿宋" w:hAnsi="仿宋" w:hint="eastAsia"/>
          <w:sz w:val="32"/>
          <w:szCs w:val="32"/>
        </w:rPr>
        <w:t>，其中，红石院7件（与前述超过一年未结的诉讼案件未结原因相同）；临江院1件，为（2017）吉7601民特1号案件，立案日期为2017年7月11日，该案为申请宣告公民死亡的特别程序案件，公告期为一年，公告期满后临江院将及时开庭审理；抚松院1件，为（2017）吉7604民初94号案件，立案日期为2017年11月22日，该案原告法定代表人在白山医院住院治疗，已提交鉴定申请，承办人下一步将进行调解，调解不成再启动鉴定程序。各院未结案件具体情况如图20所示：</w:t>
      </w:r>
    </w:p>
    <w:p w:rsidR="00123E46" w:rsidRDefault="00123E46" w:rsidP="00E71DEA">
      <w:pPr>
        <w:spacing w:line="560" w:lineRule="exact"/>
        <w:ind w:firstLineChars="200" w:firstLine="562"/>
        <w:rPr>
          <w:rFonts w:ascii="仿宋" w:eastAsia="仿宋" w:hAnsi="仿宋"/>
          <w:b/>
          <w:sz w:val="28"/>
          <w:szCs w:val="32"/>
        </w:rPr>
      </w:pPr>
    </w:p>
    <w:p w:rsidR="000E4D84" w:rsidRDefault="000E4D84" w:rsidP="00E71DEA">
      <w:pPr>
        <w:spacing w:line="560" w:lineRule="exact"/>
        <w:ind w:firstLineChars="200" w:firstLine="562"/>
        <w:rPr>
          <w:rFonts w:ascii="仿宋" w:eastAsia="仿宋" w:hAnsi="仿宋"/>
          <w:b/>
          <w:sz w:val="28"/>
          <w:szCs w:val="32"/>
        </w:rPr>
      </w:pPr>
    </w:p>
    <w:p w:rsidR="000E4D84" w:rsidRDefault="000E4D84" w:rsidP="00E71DEA">
      <w:pPr>
        <w:spacing w:line="560" w:lineRule="exact"/>
        <w:ind w:firstLineChars="200" w:firstLine="562"/>
        <w:rPr>
          <w:rFonts w:ascii="仿宋" w:eastAsia="仿宋" w:hAnsi="仿宋"/>
          <w:b/>
          <w:sz w:val="28"/>
          <w:szCs w:val="32"/>
        </w:rPr>
      </w:pPr>
    </w:p>
    <w:p w:rsidR="000E4D84" w:rsidRDefault="000E4D84" w:rsidP="00E71DEA">
      <w:pPr>
        <w:spacing w:line="560" w:lineRule="exact"/>
        <w:ind w:firstLineChars="200" w:firstLine="562"/>
        <w:rPr>
          <w:rFonts w:ascii="仿宋" w:eastAsia="仿宋" w:hAnsi="仿宋"/>
          <w:b/>
          <w:sz w:val="28"/>
          <w:szCs w:val="32"/>
        </w:rPr>
      </w:pPr>
    </w:p>
    <w:p w:rsidR="000E4D84" w:rsidRDefault="000E4D84" w:rsidP="00E71DEA">
      <w:pPr>
        <w:spacing w:line="560" w:lineRule="exact"/>
        <w:ind w:firstLineChars="200" w:firstLine="562"/>
        <w:rPr>
          <w:rFonts w:ascii="仿宋" w:eastAsia="仿宋" w:hAnsi="仿宋"/>
          <w:b/>
          <w:sz w:val="28"/>
          <w:szCs w:val="32"/>
        </w:rPr>
      </w:pPr>
    </w:p>
    <w:p w:rsidR="000E4D84" w:rsidRDefault="000E4D84" w:rsidP="00E71DEA">
      <w:pPr>
        <w:spacing w:line="560" w:lineRule="exact"/>
        <w:ind w:firstLineChars="200" w:firstLine="562"/>
        <w:rPr>
          <w:rFonts w:ascii="仿宋" w:eastAsia="仿宋" w:hAnsi="仿宋"/>
          <w:b/>
          <w:sz w:val="28"/>
          <w:szCs w:val="32"/>
        </w:rPr>
      </w:pPr>
    </w:p>
    <w:p w:rsidR="000E4D84" w:rsidRDefault="000E4D84" w:rsidP="00E71DEA">
      <w:pPr>
        <w:spacing w:line="560" w:lineRule="exact"/>
        <w:ind w:firstLineChars="200" w:firstLine="562"/>
        <w:rPr>
          <w:rFonts w:ascii="仿宋" w:eastAsia="仿宋" w:hAnsi="仿宋"/>
          <w:b/>
          <w:sz w:val="28"/>
          <w:szCs w:val="32"/>
        </w:rPr>
      </w:pPr>
    </w:p>
    <w:p w:rsidR="000E4D84" w:rsidRDefault="000E4D84" w:rsidP="00E71DEA">
      <w:pPr>
        <w:spacing w:line="560" w:lineRule="exact"/>
        <w:ind w:firstLineChars="200" w:firstLine="562"/>
        <w:rPr>
          <w:rFonts w:ascii="仿宋" w:eastAsia="仿宋" w:hAnsi="仿宋"/>
          <w:b/>
          <w:sz w:val="28"/>
          <w:szCs w:val="32"/>
        </w:rPr>
      </w:pPr>
    </w:p>
    <w:p w:rsidR="000E4D84" w:rsidRDefault="000E4D84" w:rsidP="00E71DEA">
      <w:pPr>
        <w:spacing w:line="560" w:lineRule="exact"/>
        <w:ind w:firstLineChars="200" w:firstLine="562"/>
        <w:rPr>
          <w:rFonts w:ascii="仿宋" w:eastAsia="仿宋" w:hAnsi="仿宋"/>
          <w:b/>
          <w:sz w:val="28"/>
          <w:szCs w:val="32"/>
        </w:rPr>
      </w:pPr>
    </w:p>
    <w:p w:rsidR="000E4D84" w:rsidRDefault="000E4D84" w:rsidP="00E71DEA">
      <w:pPr>
        <w:spacing w:line="560" w:lineRule="exact"/>
        <w:ind w:firstLineChars="200" w:firstLine="562"/>
        <w:rPr>
          <w:rFonts w:ascii="仿宋" w:eastAsia="仿宋" w:hAnsi="仿宋"/>
          <w:b/>
          <w:sz w:val="28"/>
          <w:szCs w:val="32"/>
        </w:rPr>
      </w:pPr>
    </w:p>
    <w:p w:rsidR="000E4D84" w:rsidRDefault="000E4D84" w:rsidP="00E71DEA">
      <w:pPr>
        <w:spacing w:line="560" w:lineRule="exact"/>
        <w:ind w:firstLineChars="200" w:firstLine="562"/>
        <w:rPr>
          <w:rFonts w:ascii="仿宋" w:eastAsia="仿宋" w:hAnsi="仿宋"/>
          <w:b/>
          <w:sz w:val="28"/>
          <w:szCs w:val="32"/>
        </w:rPr>
      </w:pPr>
    </w:p>
    <w:p w:rsidR="000E4D84" w:rsidRDefault="000E4D84" w:rsidP="00E71DEA">
      <w:pPr>
        <w:spacing w:line="560" w:lineRule="exact"/>
        <w:ind w:firstLineChars="200" w:firstLine="562"/>
        <w:rPr>
          <w:rFonts w:ascii="仿宋" w:eastAsia="仿宋" w:hAnsi="仿宋"/>
          <w:b/>
          <w:sz w:val="28"/>
          <w:szCs w:val="32"/>
        </w:rPr>
      </w:pPr>
    </w:p>
    <w:p w:rsidR="00123E46" w:rsidRDefault="00363513">
      <w:pPr>
        <w:spacing w:line="560" w:lineRule="exact"/>
        <w:ind w:firstLineChars="200" w:firstLine="562"/>
        <w:jc w:val="center"/>
        <w:rPr>
          <w:rFonts w:ascii="仿宋" w:eastAsia="仿宋" w:hAnsi="仿宋"/>
          <w:b/>
          <w:sz w:val="28"/>
          <w:szCs w:val="32"/>
        </w:rPr>
      </w:pPr>
      <w:r>
        <w:rPr>
          <w:rFonts w:ascii="仿宋" w:eastAsia="仿宋" w:hAnsi="仿宋" w:hint="eastAsia"/>
          <w:b/>
          <w:sz w:val="28"/>
          <w:szCs w:val="32"/>
        </w:rPr>
        <w:lastRenderedPageBreak/>
        <w:t>图20  各院长期未结案件具体情况</w:t>
      </w:r>
    </w:p>
    <w:tbl>
      <w:tblPr>
        <w:tblW w:w="8428" w:type="dxa"/>
        <w:tblInd w:w="94" w:type="dxa"/>
        <w:tblLayout w:type="fixed"/>
        <w:tblLook w:val="04A0"/>
      </w:tblPr>
      <w:tblGrid>
        <w:gridCol w:w="417"/>
        <w:gridCol w:w="1157"/>
        <w:gridCol w:w="2268"/>
        <w:gridCol w:w="992"/>
        <w:gridCol w:w="709"/>
        <w:gridCol w:w="567"/>
        <w:gridCol w:w="425"/>
        <w:gridCol w:w="567"/>
        <w:gridCol w:w="567"/>
        <w:gridCol w:w="759"/>
      </w:tblGrid>
      <w:tr w:rsidR="00123E46">
        <w:trPr>
          <w:trHeight w:val="1005"/>
        </w:trPr>
        <w:tc>
          <w:tcPr>
            <w:tcW w:w="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序号</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案号</w:t>
            </w:r>
          </w:p>
        </w:tc>
        <w:tc>
          <w:tcPr>
            <w:tcW w:w="2268"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案件名称</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立案</w:t>
            </w:r>
          </w:p>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日期</w:t>
            </w: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法院名称</w:t>
            </w:r>
          </w:p>
        </w:tc>
        <w:tc>
          <w:tcPr>
            <w:tcW w:w="567"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扣除审限</w:t>
            </w:r>
          </w:p>
        </w:tc>
        <w:tc>
          <w:tcPr>
            <w:tcW w:w="425"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实际审理</w:t>
            </w:r>
          </w:p>
        </w:tc>
        <w:tc>
          <w:tcPr>
            <w:tcW w:w="567"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法定审限</w:t>
            </w:r>
          </w:p>
        </w:tc>
        <w:tc>
          <w:tcPr>
            <w:tcW w:w="567"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实际审限</w:t>
            </w:r>
          </w:p>
        </w:tc>
        <w:tc>
          <w:tcPr>
            <w:tcW w:w="759" w:type="dxa"/>
            <w:tcBorders>
              <w:top w:val="single" w:sz="4" w:space="0" w:color="000000"/>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审限届满日期</w:t>
            </w:r>
          </w:p>
        </w:tc>
      </w:tr>
      <w:tr w:rsidR="00123E46">
        <w:trPr>
          <w:trHeight w:val="1005"/>
        </w:trPr>
        <w:tc>
          <w:tcPr>
            <w:tcW w:w="417" w:type="dxa"/>
            <w:tcBorders>
              <w:top w:val="nil"/>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1</w:t>
            </w:r>
          </w:p>
        </w:tc>
        <w:tc>
          <w:tcPr>
            <w:tcW w:w="115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2017</w:t>
            </w:r>
            <w:r>
              <w:rPr>
                <w:rFonts w:ascii="Arial" w:eastAsia="宋体" w:hAnsi="Arial" w:cs="Arial"/>
                <w:color w:val="000000"/>
                <w:kern w:val="0"/>
                <w:sz w:val="18"/>
                <w:szCs w:val="18"/>
              </w:rPr>
              <w:t>）吉</w:t>
            </w:r>
            <w:r>
              <w:rPr>
                <w:rFonts w:ascii="Arial" w:eastAsia="宋体" w:hAnsi="Arial" w:cs="Arial"/>
                <w:color w:val="000000"/>
                <w:kern w:val="0"/>
                <w:sz w:val="18"/>
                <w:szCs w:val="18"/>
              </w:rPr>
              <w:t>7603</w:t>
            </w:r>
            <w:r>
              <w:rPr>
                <w:rFonts w:ascii="Arial" w:eastAsia="宋体" w:hAnsi="Arial" w:cs="Arial"/>
                <w:color w:val="000000"/>
                <w:kern w:val="0"/>
                <w:sz w:val="18"/>
                <w:szCs w:val="18"/>
              </w:rPr>
              <w:t>民初</w:t>
            </w:r>
            <w:r>
              <w:rPr>
                <w:rFonts w:ascii="Arial" w:eastAsia="宋体" w:hAnsi="Arial" w:cs="Arial"/>
                <w:color w:val="000000"/>
                <w:kern w:val="0"/>
                <w:sz w:val="18"/>
                <w:szCs w:val="18"/>
              </w:rPr>
              <w:t>28</w:t>
            </w:r>
            <w:r>
              <w:rPr>
                <w:rFonts w:ascii="Arial" w:eastAsia="宋体" w:hAnsi="Arial" w:cs="Arial"/>
                <w:color w:val="000000"/>
                <w:kern w:val="0"/>
                <w:sz w:val="18"/>
                <w:szCs w:val="18"/>
              </w:rPr>
              <w:t>号</w:t>
            </w:r>
          </w:p>
        </w:tc>
        <w:tc>
          <w:tcPr>
            <w:tcW w:w="2268"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鲍成梅等诉王佩伍等追偿权纠纷一案</w:t>
            </w:r>
          </w:p>
        </w:tc>
        <w:tc>
          <w:tcPr>
            <w:tcW w:w="992"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2017-04-24</w:t>
            </w:r>
          </w:p>
        </w:tc>
        <w:tc>
          <w:tcPr>
            <w:tcW w:w="709"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红石院</w:t>
            </w:r>
          </w:p>
        </w:tc>
        <w:tc>
          <w:tcPr>
            <w:tcW w:w="56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357</w:t>
            </w:r>
          </w:p>
        </w:tc>
        <w:tc>
          <w:tcPr>
            <w:tcW w:w="425"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79</w:t>
            </w:r>
          </w:p>
        </w:tc>
        <w:tc>
          <w:tcPr>
            <w:tcW w:w="56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183</w:t>
            </w:r>
          </w:p>
        </w:tc>
        <w:tc>
          <w:tcPr>
            <w:tcW w:w="56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183</w:t>
            </w:r>
          </w:p>
        </w:tc>
        <w:tc>
          <w:tcPr>
            <w:tcW w:w="759"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2018-</w:t>
            </w:r>
            <w:r>
              <w:rPr>
                <w:rFonts w:ascii="Arial" w:eastAsia="宋体" w:hAnsi="Arial" w:cs="Arial" w:hint="eastAsia"/>
                <w:color w:val="000000"/>
                <w:kern w:val="0"/>
                <w:sz w:val="18"/>
                <w:szCs w:val="18"/>
              </w:rPr>
              <w:t>10</w:t>
            </w:r>
            <w:r>
              <w:rPr>
                <w:rFonts w:ascii="Arial" w:eastAsia="宋体" w:hAnsi="Arial" w:cs="Arial"/>
                <w:color w:val="000000"/>
                <w:kern w:val="0"/>
                <w:sz w:val="18"/>
                <w:szCs w:val="18"/>
              </w:rPr>
              <w:t>-</w:t>
            </w:r>
            <w:r>
              <w:rPr>
                <w:rFonts w:ascii="Arial" w:eastAsia="宋体" w:hAnsi="Arial" w:cs="Arial" w:hint="eastAsia"/>
                <w:color w:val="000000"/>
                <w:kern w:val="0"/>
                <w:sz w:val="18"/>
                <w:szCs w:val="18"/>
              </w:rPr>
              <w:t>17</w:t>
            </w:r>
          </w:p>
        </w:tc>
      </w:tr>
      <w:tr w:rsidR="00123E46">
        <w:trPr>
          <w:trHeight w:val="1005"/>
        </w:trPr>
        <w:tc>
          <w:tcPr>
            <w:tcW w:w="417"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2</w:t>
            </w:r>
          </w:p>
        </w:tc>
        <w:tc>
          <w:tcPr>
            <w:tcW w:w="115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2017</w:t>
            </w:r>
            <w:r>
              <w:rPr>
                <w:rFonts w:ascii="Arial" w:eastAsia="宋体" w:hAnsi="Arial" w:cs="Arial"/>
                <w:color w:val="000000"/>
                <w:kern w:val="0"/>
                <w:sz w:val="18"/>
                <w:szCs w:val="18"/>
              </w:rPr>
              <w:t>）吉</w:t>
            </w:r>
            <w:r>
              <w:rPr>
                <w:rFonts w:ascii="Arial" w:eastAsia="宋体" w:hAnsi="Arial" w:cs="Arial"/>
                <w:color w:val="000000"/>
                <w:kern w:val="0"/>
                <w:sz w:val="18"/>
                <w:szCs w:val="18"/>
              </w:rPr>
              <w:t>7603</w:t>
            </w:r>
            <w:r>
              <w:rPr>
                <w:rFonts w:ascii="Arial" w:eastAsia="宋体" w:hAnsi="Arial" w:cs="Arial"/>
                <w:color w:val="000000"/>
                <w:kern w:val="0"/>
                <w:sz w:val="18"/>
                <w:szCs w:val="18"/>
              </w:rPr>
              <w:t>民申</w:t>
            </w:r>
            <w:r>
              <w:rPr>
                <w:rFonts w:ascii="Arial" w:eastAsia="宋体" w:hAnsi="Arial" w:cs="Arial"/>
                <w:color w:val="000000"/>
                <w:kern w:val="0"/>
                <w:sz w:val="18"/>
                <w:szCs w:val="18"/>
              </w:rPr>
              <w:t>2</w:t>
            </w:r>
            <w:r>
              <w:rPr>
                <w:rFonts w:ascii="Arial" w:eastAsia="宋体" w:hAnsi="Arial" w:cs="Arial"/>
                <w:color w:val="000000"/>
                <w:kern w:val="0"/>
                <w:sz w:val="18"/>
                <w:szCs w:val="18"/>
              </w:rPr>
              <w:t>号</w:t>
            </w:r>
          </w:p>
        </w:tc>
        <w:tc>
          <w:tcPr>
            <w:tcW w:w="2268"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民事侯卫东申请合同、无因管理、不当得利纠纷再审审查一案</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2017-08-30</w:t>
            </w:r>
          </w:p>
        </w:tc>
        <w:tc>
          <w:tcPr>
            <w:tcW w:w="709"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红石院</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265</w:t>
            </w:r>
          </w:p>
        </w:tc>
        <w:tc>
          <w:tcPr>
            <w:tcW w:w="425"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43</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759"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2018-</w:t>
            </w:r>
            <w:r>
              <w:rPr>
                <w:rFonts w:ascii="Arial" w:eastAsia="宋体" w:hAnsi="Arial" w:cs="Arial" w:hint="eastAsia"/>
                <w:color w:val="000000"/>
                <w:kern w:val="0"/>
                <w:sz w:val="18"/>
                <w:szCs w:val="18"/>
              </w:rPr>
              <w:t>08</w:t>
            </w:r>
            <w:r>
              <w:rPr>
                <w:rFonts w:ascii="Arial" w:eastAsia="宋体" w:hAnsi="Arial" w:cs="Arial"/>
                <w:color w:val="000000"/>
                <w:kern w:val="0"/>
                <w:sz w:val="18"/>
                <w:szCs w:val="18"/>
              </w:rPr>
              <w:t>-</w:t>
            </w:r>
            <w:r>
              <w:rPr>
                <w:rFonts w:ascii="Arial" w:eastAsia="宋体" w:hAnsi="Arial" w:cs="Arial" w:hint="eastAsia"/>
                <w:color w:val="000000"/>
                <w:kern w:val="0"/>
                <w:sz w:val="18"/>
                <w:szCs w:val="18"/>
              </w:rPr>
              <w:t>23</w:t>
            </w:r>
          </w:p>
        </w:tc>
      </w:tr>
      <w:tr w:rsidR="00123E46">
        <w:trPr>
          <w:trHeight w:val="1005"/>
        </w:trPr>
        <w:tc>
          <w:tcPr>
            <w:tcW w:w="417"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3</w:t>
            </w:r>
          </w:p>
        </w:tc>
        <w:tc>
          <w:tcPr>
            <w:tcW w:w="115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2017</w:t>
            </w:r>
            <w:r>
              <w:rPr>
                <w:rFonts w:ascii="Arial" w:eastAsia="宋体" w:hAnsi="Arial" w:cs="Arial"/>
                <w:color w:val="000000"/>
                <w:kern w:val="0"/>
                <w:sz w:val="18"/>
                <w:szCs w:val="18"/>
              </w:rPr>
              <w:t>）吉</w:t>
            </w:r>
            <w:r>
              <w:rPr>
                <w:rFonts w:ascii="Arial" w:eastAsia="宋体" w:hAnsi="Arial" w:cs="Arial"/>
                <w:color w:val="000000"/>
                <w:kern w:val="0"/>
                <w:sz w:val="18"/>
                <w:szCs w:val="18"/>
              </w:rPr>
              <w:t>7603</w:t>
            </w:r>
            <w:r>
              <w:rPr>
                <w:rFonts w:ascii="Arial" w:eastAsia="宋体" w:hAnsi="Arial" w:cs="Arial"/>
                <w:color w:val="000000"/>
                <w:kern w:val="0"/>
                <w:sz w:val="18"/>
                <w:szCs w:val="18"/>
              </w:rPr>
              <w:t>民申</w:t>
            </w:r>
            <w:r>
              <w:rPr>
                <w:rFonts w:ascii="Arial" w:eastAsia="宋体" w:hAnsi="Arial" w:cs="Arial"/>
                <w:color w:val="000000"/>
                <w:kern w:val="0"/>
                <w:sz w:val="18"/>
                <w:szCs w:val="18"/>
              </w:rPr>
              <w:t>3</w:t>
            </w:r>
            <w:r>
              <w:rPr>
                <w:rFonts w:ascii="Arial" w:eastAsia="宋体" w:hAnsi="Arial" w:cs="Arial"/>
                <w:color w:val="000000"/>
                <w:kern w:val="0"/>
                <w:sz w:val="18"/>
                <w:szCs w:val="18"/>
              </w:rPr>
              <w:t>号</w:t>
            </w:r>
          </w:p>
        </w:tc>
        <w:tc>
          <w:tcPr>
            <w:tcW w:w="2268"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民事胡本平申请合同、无因管理、不当得利纠纷再审审查一案</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2017-08-30</w:t>
            </w:r>
          </w:p>
        </w:tc>
        <w:tc>
          <w:tcPr>
            <w:tcW w:w="709"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红石院</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265</w:t>
            </w:r>
          </w:p>
        </w:tc>
        <w:tc>
          <w:tcPr>
            <w:tcW w:w="425"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43</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759"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2018-0</w:t>
            </w:r>
            <w:r>
              <w:rPr>
                <w:rFonts w:ascii="Arial" w:eastAsia="宋体" w:hAnsi="Arial" w:cs="Arial" w:hint="eastAsia"/>
                <w:color w:val="000000"/>
                <w:kern w:val="0"/>
                <w:sz w:val="18"/>
                <w:szCs w:val="18"/>
              </w:rPr>
              <w:t>8</w:t>
            </w:r>
            <w:r>
              <w:rPr>
                <w:rFonts w:ascii="Arial" w:eastAsia="宋体" w:hAnsi="Arial" w:cs="Arial"/>
                <w:color w:val="000000"/>
                <w:kern w:val="0"/>
                <w:sz w:val="18"/>
                <w:szCs w:val="18"/>
              </w:rPr>
              <w:t>-</w:t>
            </w:r>
            <w:r>
              <w:rPr>
                <w:rFonts w:ascii="Arial" w:eastAsia="宋体" w:hAnsi="Arial" w:cs="Arial" w:hint="eastAsia"/>
                <w:color w:val="000000"/>
                <w:kern w:val="0"/>
                <w:sz w:val="18"/>
                <w:szCs w:val="18"/>
              </w:rPr>
              <w:t>23</w:t>
            </w:r>
          </w:p>
        </w:tc>
      </w:tr>
      <w:tr w:rsidR="00123E46">
        <w:trPr>
          <w:trHeight w:val="1005"/>
        </w:trPr>
        <w:tc>
          <w:tcPr>
            <w:tcW w:w="417"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4</w:t>
            </w:r>
          </w:p>
        </w:tc>
        <w:tc>
          <w:tcPr>
            <w:tcW w:w="115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2017</w:t>
            </w:r>
            <w:r>
              <w:rPr>
                <w:rFonts w:ascii="Arial" w:eastAsia="宋体" w:hAnsi="Arial" w:cs="Arial"/>
                <w:color w:val="000000"/>
                <w:kern w:val="0"/>
                <w:sz w:val="18"/>
                <w:szCs w:val="18"/>
              </w:rPr>
              <w:t>）吉</w:t>
            </w:r>
            <w:r>
              <w:rPr>
                <w:rFonts w:ascii="Arial" w:eastAsia="宋体" w:hAnsi="Arial" w:cs="Arial"/>
                <w:color w:val="000000"/>
                <w:kern w:val="0"/>
                <w:sz w:val="18"/>
                <w:szCs w:val="18"/>
              </w:rPr>
              <w:t>7603</w:t>
            </w:r>
            <w:r>
              <w:rPr>
                <w:rFonts w:ascii="Arial" w:eastAsia="宋体" w:hAnsi="Arial" w:cs="Arial"/>
                <w:color w:val="000000"/>
                <w:kern w:val="0"/>
                <w:sz w:val="18"/>
                <w:szCs w:val="18"/>
              </w:rPr>
              <w:t>民申</w:t>
            </w:r>
            <w:r>
              <w:rPr>
                <w:rFonts w:ascii="Arial" w:eastAsia="宋体" w:hAnsi="Arial" w:cs="Arial"/>
                <w:color w:val="000000"/>
                <w:kern w:val="0"/>
                <w:sz w:val="18"/>
                <w:szCs w:val="18"/>
              </w:rPr>
              <w:t>4</w:t>
            </w:r>
            <w:r>
              <w:rPr>
                <w:rFonts w:ascii="Arial" w:eastAsia="宋体" w:hAnsi="Arial" w:cs="Arial"/>
                <w:color w:val="000000"/>
                <w:kern w:val="0"/>
                <w:sz w:val="18"/>
                <w:szCs w:val="18"/>
              </w:rPr>
              <w:t>号</w:t>
            </w:r>
          </w:p>
        </w:tc>
        <w:tc>
          <w:tcPr>
            <w:tcW w:w="2268"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民事张振国申请合同、无因管理、不当得利纠纷再审审查一案</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2017-08-30</w:t>
            </w:r>
          </w:p>
        </w:tc>
        <w:tc>
          <w:tcPr>
            <w:tcW w:w="709"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红石院</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0</w:t>
            </w:r>
          </w:p>
        </w:tc>
        <w:tc>
          <w:tcPr>
            <w:tcW w:w="425"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43</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759"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2018-0</w:t>
            </w:r>
            <w:r>
              <w:rPr>
                <w:rFonts w:ascii="Arial" w:eastAsia="宋体" w:hAnsi="Arial" w:cs="Arial" w:hint="eastAsia"/>
                <w:color w:val="000000"/>
                <w:kern w:val="0"/>
                <w:sz w:val="18"/>
                <w:szCs w:val="18"/>
              </w:rPr>
              <w:t>8</w:t>
            </w:r>
            <w:r>
              <w:rPr>
                <w:rFonts w:ascii="Arial" w:eastAsia="宋体" w:hAnsi="Arial" w:cs="Arial"/>
                <w:color w:val="000000"/>
                <w:kern w:val="0"/>
                <w:sz w:val="18"/>
                <w:szCs w:val="18"/>
              </w:rPr>
              <w:t>-</w:t>
            </w:r>
            <w:r>
              <w:rPr>
                <w:rFonts w:ascii="Arial" w:eastAsia="宋体" w:hAnsi="Arial" w:cs="Arial" w:hint="eastAsia"/>
                <w:color w:val="000000"/>
                <w:kern w:val="0"/>
                <w:sz w:val="18"/>
                <w:szCs w:val="18"/>
              </w:rPr>
              <w:t>23</w:t>
            </w:r>
          </w:p>
        </w:tc>
      </w:tr>
      <w:tr w:rsidR="00123E46">
        <w:trPr>
          <w:trHeight w:val="1005"/>
        </w:trPr>
        <w:tc>
          <w:tcPr>
            <w:tcW w:w="417"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5</w:t>
            </w:r>
          </w:p>
        </w:tc>
        <w:tc>
          <w:tcPr>
            <w:tcW w:w="115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2017</w:t>
            </w:r>
            <w:r>
              <w:rPr>
                <w:rFonts w:ascii="Arial" w:eastAsia="宋体" w:hAnsi="Arial" w:cs="Arial"/>
                <w:color w:val="000000"/>
                <w:kern w:val="0"/>
                <w:sz w:val="18"/>
                <w:szCs w:val="18"/>
              </w:rPr>
              <w:t>）吉</w:t>
            </w:r>
            <w:r>
              <w:rPr>
                <w:rFonts w:ascii="Arial" w:eastAsia="宋体" w:hAnsi="Arial" w:cs="Arial"/>
                <w:color w:val="000000"/>
                <w:kern w:val="0"/>
                <w:sz w:val="18"/>
                <w:szCs w:val="18"/>
              </w:rPr>
              <w:t>7603</w:t>
            </w:r>
            <w:r>
              <w:rPr>
                <w:rFonts w:ascii="Arial" w:eastAsia="宋体" w:hAnsi="Arial" w:cs="Arial"/>
                <w:color w:val="000000"/>
                <w:kern w:val="0"/>
                <w:sz w:val="18"/>
                <w:szCs w:val="18"/>
              </w:rPr>
              <w:t>民申</w:t>
            </w:r>
            <w:r>
              <w:rPr>
                <w:rFonts w:ascii="Arial" w:eastAsia="宋体" w:hAnsi="Arial" w:cs="Arial"/>
                <w:color w:val="000000"/>
                <w:kern w:val="0"/>
                <w:sz w:val="18"/>
                <w:szCs w:val="18"/>
              </w:rPr>
              <w:t>5</w:t>
            </w:r>
            <w:r>
              <w:rPr>
                <w:rFonts w:ascii="Arial" w:eastAsia="宋体" w:hAnsi="Arial" w:cs="Arial"/>
                <w:color w:val="000000"/>
                <w:kern w:val="0"/>
                <w:sz w:val="18"/>
                <w:szCs w:val="18"/>
              </w:rPr>
              <w:t>号</w:t>
            </w:r>
          </w:p>
        </w:tc>
        <w:tc>
          <w:tcPr>
            <w:tcW w:w="2268"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民事唐朝君申请合同、无因管理、不当得利纠纷再审审查一案</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2017-08-30</w:t>
            </w:r>
          </w:p>
        </w:tc>
        <w:tc>
          <w:tcPr>
            <w:tcW w:w="709"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红石院</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265</w:t>
            </w:r>
          </w:p>
        </w:tc>
        <w:tc>
          <w:tcPr>
            <w:tcW w:w="425"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43</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759"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2018-0</w:t>
            </w:r>
            <w:r>
              <w:rPr>
                <w:rFonts w:ascii="Arial" w:eastAsia="宋体" w:hAnsi="Arial" w:cs="Arial" w:hint="eastAsia"/>
                <w:color w:val="000000"/>
                <w:kern w:val="0"/>
                <w:sz w:val="18"/>
                <w:szCs w:val="18"/>
              </w:rPr>
              <w:t>8</w:t>
            </w:r>
            <w:r>
              <w:rPr>
                <w:rFonts w:ascii="Arial" w:eastAsia="宋体" w:hAnsi="Arial" w:cs="Arial"/>
                <w:color w:val="000000"/>
                <w:kern w:val="0"/>
                <w:sz w:val="18"/>
                <w:szCs w:val="18"/>
              </w:rPr>
              <w:t>-</w:t>
            </w:r>
            <w:r>
              <w:rPr>
                <w:rFonts w:ascii="Arial" w:eastAsia="宋体" w:hAnsi="Arial" w:cs="Arial" w:hint="eastAsia"/>
                <w:color w:val="000000"/>
                <w:kern w:val="0"/>
                <w:sz w:val="18"/>
                <w:szCs w:val="18"/>
              </w:rPr>
              <w:t>23</w:t>
            </w:r>
          </w:p>
        </w:tc>
      </w:tr>
      <w:tr w:rsidR="00123E46">
        <w:trPr>
          <w:trHeight w:val="1005"/>
        </w:trPr>
        <w:tc>
          <w:tcPr>
            <w:tcW w:w="417" w:type="dxa"/>
            <w:tcBorders>
              <w:top w:val="nil"/>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6</w:t>
            </w:r>
          </w:p>
        </w:tc>
        <w:tc>
          <w:tcPr>
            <w:tcW w:w="115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2017</w:t>
            </w:r>
            <w:r>
              <w:rPr>
                <w:rFonts w:ascii="Arial" w:eastAsia="宋体" w:hAnsi="Arial" w:cs="Arial"/>
                <w:color w:val="000000"/>
                <w:kern w:val="0"/>
                <w:sz w:val="18"/>
                <w:szCs w:val="18"/>
              </w:rPr>
              <w:t>）吉</w:t>
            </w:r>
            <w:r>
              <w:rPr>
                <w:rFonts w:ascii="Arial" w:eastAsia="宋体" w:hAnsi="Arial" w:cs="Arial"/>
                <w:color w:val="000000"/>
                <w:kern w:val="0"/>
                <w:sz w:val="18"/>
                <w:szCs w:val="18"/>
              </w:rPr>
              <w:t>7603</w:t>
            </w:r>
            <w:r>
              <w:rPr>
                <w:rFonts w:ascii="Arial" w:eastAsia="宋体" w:hAnsi="Arial" w:cs="Arial"/>
                <w:color w:val="000000"/>
                <w:kern w:val="0"/>
                <w:sz w:val="18"/>
                <w:szCs w:val="18"/>
              </w:rPr>
              <w:t>民申</w:t>
            </w:r>
            <w:r>
              <w:rPr>
                <w:rFonts w:ascii="Arial" w:eastAsia="宋体" w:hAnsi="Arial" w:cs="Arial"/>
                <w:color w:val="000000"/>
                <w:kern w:val="0"/>
                <w:sz w:val="18"/>
                <w:szCs w:val="18"/>
              </w:rPr>
              <w:t>6</w:t>
            </w:r>
            <w:r>
              <w:rPr>
                <w:rFonts w:ascii="Arial" w:eastAsia="宋体" w:hAnsi="Arial" w:cs="Arial"/>
                <w:color w:val="000000"/>
                <w:kern w:val="0"/>
                <w:sz w:val="18"/>
                <w:szCs w:val="18"/>
              </w:rPr>
              <w:t>号</w:t>
            </w:r>
          </w:p>
        </w:tc>
        <w:tc>
          <w:tcPr>
            <w:tcW w:w="2268"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民事潘立伟申请合同、无因管理、不当得利纠纷再审审查一案</w:t>
            </w:r>
          </w:p>
        </w:tc>
        <w:tc>
          <w:tcPr>
            <w:tcW w:w="992"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2017-08-30</w:t>
            </w:r>
          </w:p>
        </w:tc>
        <w:tc>
          <w:tcPr>
            <w:tcW w:w="709"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红石院</w:t>
            </w:r>
          </w:p>
        </w:tc>
        <w:tc>
          <w:tcPr>
            <w:tcW w:w="56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0</w:t>
            </w:r>
          </w:p>
        </w:tc>
        <w:tc>
          <w:tcPr>
            <w:tcW w:w="425"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43</w:t>
            </w:r>
          </w:p>
        </w:tc>
        <w:tc>
          <w:tcPr>
            <w:tcW w:w="56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56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759"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2018-0</w:t>
            </w:r>
            <w:r>
              <w:rPr>
                <w:rFonts w:ascii="Arial" w:eastAsia="宋体" w:hAnsi="Arial" w:cs="Arial" w:hint="eastAsia"/>
                <w:color w:val="000000"/>
                <w:kern w:val="0"/>
                <w:sz w:val="18"/>
                <w:szCs w:val="18"/>
              </w:rPr>
              <w:t>8</w:t>
            </w:r>
            <w:r>
              <w:rPr>
                <w:rFonts w:ascii="Arial" w:eastAsia="宋体" w:hAnsi="Arial" w:cs="Arial"/>
                <w:color w:val="000000"/>
                <w:kern w:val="0"/>
                <w:sz w:val="18"/>
                <w:szCs w:val="18"/>
              </w:rPr>
              <w:t>-</w:t>
            </w:r>
            <w:r>
              <w:rPr>
                <w:rFonts w:ascii="Arial" w:eastAsia="宋体" w:hAnsi="Arial" w:cs="Arial" w:hint="eastAsia"/>
                <w:color w:val="000000"/>
                <w:kern w:val="0"/>
                <w:sz w:val="18"/>
                <w:szCs w:val="18"/>
              </w:rPr>
              <w:t>23</w:t>
            </w:r>
          </w:p>
        </w:tc>
      </w:tr>
      <w:tr w:rsidR="00123E46">
        <w:trPr>
          <w:trHeight w:val="1005"/>
        </w:trPr>
        <w:tc>
          <w:tcPr>
            <w:tcW w:w="417" w:type="dxa"/>
            <w:tcBorders>
              <w:top w:val="nil"/>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7</w:t>
            </w:r>
          </w:p>
        </w:tc>
        <w:tc>
          <w:tcPr>
            <w:tcW w:w="115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2017</w:t>
            </w:r>
            <w:r>
              <w:rPr>
                <w:rFonts w:ascii="Arial" w:eastAsia="宋体" w:hAnsi="Arial" w:cs="Arial"/>
                <w:color w:val="000000"/>
                <w:kern w:val="0"/>
                <w:sz w:val="18"/>
                <w:szCs w:val="18"/>
              </w:rPr>
              <w:t>）吉</w:t>
            </w:r>
            <w:r>
              <w:rPr>
                <w:rFonts w:ascii="Arial" w:eastAsia="宋体" w:hAnsi="Arial" w:cs="Arial"/>
                <w:color w:val="000000"/>
                <w:kern w:val="0"/>
                <w:sz w:val="18"/>
                <w:szCs w:val="18"/>
              </w:rPr>
              <w:t>7603</w:t>
            </w:r>
            <w:r>
              <w:rPr>
                <w:rFonts w:ascii="Arial" w:eastAsia="宋体" w:hAnsi="Arial" w:cs="Arial"/>
                <w:color w:val="000000"/>
                <w:kern w:val="0"/>
                <w:sz w:val="18"/>
                <w:szCs w:val="18"/>
              </w:rPr>
              <w:t>民申</w:t>
            </w:r>
            <w:r>
              <w:rPr>
                <w:rFonts w:ascii="Arial" w:eastAsia="宋体" w:hAnsi="Arial" w:cs="Arial"/>
                <w:color w:val="000000"/>
                <w:kern w:val="0"/>
                <w:sz w:val="18"/>
                <w:szCs w:val="18"/>
              </w:rPr>
              <w:t>7</w:t>
            </w:r>
            <w:r>
              <w:rPr>
                <w:rFonts w:ascii="Arial" w:eastAsia="宋体" w:hAnsi="Arial" w:cs="Arial"/>
                <w:color w:val="000000"/>
                <w:kern w:val="0"/>
                <w:sz w:val="18"/>
                <w:szCs w:val="18"/>
              </w:rPr>
              <w:t>号</w:t>
            </w:r>
          </w:p>
        </w:tc>
        <w:tc>
          <w:tcPr>
            <w:tcW w:w="2268"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民事陈东胜申请合同、无因管理、不当得利纠纷再审审查一案</w:t>
            </w:r>
          </w:p>
        </w:tc>
        <w:tc>
          <w:tcPr>
            <w:tcW w:w="992"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2017-08-30</w:t>
            </w:r>
          </w:p>
        </w:tc>
        <w:tc>
          <w:tcPr>
            <w:tcW w:w="709"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红石院</w:t>
            </w:r>
          </w:p>
        </w:tc>
        <w:tc>
          <w:tcPr>
            <w:tcW w:w="56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265</w:t>
            </w:r>
          </w:p>
        </w:tc>
        <w:tc>
          <w:tcPr>
            <w:tcW w:w="425"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43</w:t>
            </w:r>
          </w:p>
        </w:tc>
        <w:tc>
          <w:tcPr>
            <w:tcW w:w="56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56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759"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2018-</w:t>
            </w:r>
            <w:r>
              <w:rPr>
                <w:rFonts w:ascii="Arial" w:eastAsia="宋体" w:hAnsi="Arial" w:cs="Arial" w:hint="eastAsia"/>
                <w:color w:val="000000"/>
                <w:kern w:val="0"/>
                <w:sz w:val="18"/>
                <w:szCs w:val="18"/>
              </w:rPr>
              <w:t>08-23</w:t>
            </w:r>
          </w:p>
        </w:tc>
      </w:tr>
      <w:tr w:rsidR="00123E46">
        <w:trPr>
          <w:trHeight w:val="1005"/>
        </w:trPr>
        <w:tc>
          <w:tcPr>
            <w:tcW w:w="417" w:type="dxa"/>
            <w:tcBorders>
              <w:top w:val="nil"/>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8</w:t>
            </w:r>
          </w:p>
        </w:tc>
        <w:tc>
          <w:tcPr>
            <w:tcW w:w="115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2017</w:t>
            </w:r>
            <w:r>
              <w:rPr>
                <w:rFonts w:ascii="Arial" w:eastAsia="宋体" w:hAnsi="Arial" w:cs="Arial"/>
                <w:color w:val="000000"/>
                <w:kern w:val="0"/>
                <w:sz w:val="18"/>
                <w:szCs w:val="18"/>
              </w:rPr>
              <w:t>）吉</w:t>
            </w:r>
            <w:r>
              <w:rPr>
                <w:rFonts w:ascii="Arial" w:eastAsia="宋体" w:hAnsi="Arial" w:cs="Arial"/>
                <w:color w:val="000000"/>
                <w:kern w:val="0"/>
                <w:sz w:val="18"/>
                <w:szCs w:val="18"/>
              </w:rPr>
              <w:t>7603</w:t>
            </w:r>
            <w:r>
              <w:rPr>
                <w:rFonts w:ascii="Arial" w:eastAsia="宋体" w:hAnsi="Arial" w:cs="Arial"/>
                <w:color w:val="000000"/>
                <w:kern w:val="0"/>
                <w:sz w:val="18"/>
                <w:szCs w:val="18"/>
              </w:rPr>
              <w:t>民申</w:t>
            </w:r>
            <w:r>
              <w:rPr>
                <w:rFonts w:ascii="Arial" w:eastAsia="宋体" w:hAnsi="Arial" w:cs="Arial"/>
                <w:color w:val="000000"/>
                <w:kern w:val="0"/>
                <w:sz w:val="18"/>
                <w:szCs w:val="18"/>
              </w:rPr>
              <w:t>8</w:t>
            </w:r>
            <w:r>
              <w:rPr>
                <w:rFonts w:ascii="Arial" w:eastAsia="宋体" w:hAnsi="Arial" w:cs="Arial"/>
                <w:color w:val="000000"/>
                <w:kern w:val="0"/>
                <w:sz w:val="18"/>
                <w:szCs w:val="18"/>
              </w:rPr>
              <w:t>号</w:t>
            </w:r>
          </w:p>
        </w:tc>
        <w:tc>
          <w:tcPr>
            <w:tcW w:w="2268"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民事赵春荣申请合同、无因管理、不当得利纠纷再审审查一案</w:t>
            </w:r>
          </w:p>
        </w:tc>
        <w:tc>
          <w:tcPr>
            <w:tcW w:w="992"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2017-08-30</w:t>
            </w:r>
          </w:p>
        </w:tc>
        <w:tc>
          <w:tcPr>
            <w:tcW w:w="709"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红石院</w:t>
            </w:r>
          </w:p>
        </w:tc>
        <w:tc>
          <w:tcPr>
            <w:tcW w:w="56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265</w:t>
            </w:r>
          </w:p>
        </w:tc>
        <w:tc>
          <w:tcPr>
            <w:tcW w:w="425"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43</w:t>
            </w:r>
          </w:p>
        </w:tc>
        <w:tc>
          <w:tcPr>
            <w:tcW w:w="56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567"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92</w:t>
            </w:r>
          </w:p>
        </w:tc>
        <w:tc>
          <w:tcPr>
            <w:tcW w:w="759" w:type="dxa"/>
            <w:tcBorders>
              <w:top w:val="nil"/>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2018-0</w:t>
            </w:r>
            <w:r>
              <w:rPr>
                <w:rFonts w:ascii="Arial" w:eastAsia="宋体" w:hAnsi="Arial" w:cs="Arial" w:hint="eastAsia"/>
                <w:color w:val="000000"/>
                <w:kern w:val="0"/>
                <w:sz w:val="18"/>
                <w:szCs w:val="18"/>
              </w:rPr>
              <w:t>8-23</w:t>
            </w:r>
          </w:p>
        </w:tc>
      </w:tr>
      <w:tr w:rsidR="00123E46">
        <w:trPr>
          <w:trHeight w:val="1005"/>
        </w:trPr>
        <w:tc>
          <w:tcPr>
            <w:tcW w:w="417" w:type="dxa"/>
            <w:tcBorders>
              <w:top w:val="single" w:sz="4" w:space="0" w:color="auto"/>
              <w:left w:val="single" w:sz="4" w:space="0" w:color="000000"/>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9</w:t>
            </w:r>
          </w:p>
        </w:tc>
        <w:tc>
          <w:tcPr>
            <w:tcW w:w="1157"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2017</w:t>
            </w:r>
            <w:r>
              <w:rPr>
                <w:rFonts w:ascii="Arial" w:eastAsia="宋体" w:hAnsi="Arial" w:cs="Arial"/>
                <w:color w:val="000000"/>
                <w:kern w:val="0"/>
                <w:sz w:val="18"/>
                <w:szCs w:val="18"/>
              </w:rPr>
              <w:t>）吉</w:t>
            </w:r>
            <w:r>
              <w:rPr>
                <w:rFonts w:ascii="Arial" w:eastAsia="宋体" w:hAnsi="Arial" w:cs="Arial"/>
                <w:color w:val="000000"/>
                <w:kern w:val="0"/>
                <w:sz w:val="18"/>
                <w:szCs w:val="18"/>
              </w:rPr>
              <w:t>7604</w:t>
            </w:r>
            <w:r>
              <w:rPr>
                <w:rFonts w:ascii="Arial" w:eastAsia="宋体" w:hAnsi="Arial" w:cs="Arial"/>
                <w:color w:val="000000"/>
                <w:kern w:val="0"/>
                <w:sz w:val="18"/>
                <w:szCs w:val="18"/>
              </w:rPr>
              <w:t>民初</w:t>
            </w:r>
            <w:r>
              <w:rPr>
                <w:rFonts w:ascii="Arial" w:eastAsia="宋体" w:hAnsi="Arial" w:cs="Arial" w:hint="eastAsia"/>
                <w:color w:val="000000"/>
                <w:kern w:val="0"/>
                <w:sz w:val="18"/>
                <w:szCs w:val="18"/>
              </w:rPr>
              <w:t>94</w:t>
            </w:r>
            <w:r>
              <w:rPr>
                <w:rFonts w:ascii="Arial" w:eastAsia="宋体" w:hAnsi="Arial" w:cs="Arial"/>
                <w:color w:val="000000"/>
                <w:kern w:val="0"/>
                <w:sz w:val="18"/>
                <w:szCs w:val="18"/>
              </w:rPr>
              <w:t>号</w:t>
            </w:r>
          </w:p>
        </w:tc>
        <w:tc>
          <w:tcPr>
            <w:tcW w:w="2268"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安图县第一建筑有限责任公司诉抚松县露水河天祥土特产有限公司建设工程施工合同纠纷一案</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2017-</w:t>
            </w:r>
            <w:r>
              <w:rPr>
                <w:rFonts w:ascii="Arial" w:eastAsia="宋体" w:hAnsi="Arial" w:cs="Arial" w:hint="eastAsia"/>
                <w:color w:val="000000"/>
                <w:kern w:val="0"/>
                <w:sz w:val="20"/>
                <w:szCs w:val="20"/>
              </w:rPr>
              <w:t>11</w:t>
            </w:r>
            <w:r>
              <w:rPr>
                <w:rFonts w:ascii="Arial" w:eastAsia="宋体" w:hAnsi="Arial" w:cs="Arial"/>
                <w:color w:val="000000"/>
                <w:kern w:val="0"/>
                <w:sz w:val="20"/>
                <w:szCs w:val="20"/>
              </w:rPr>
              <w:t>-</w:t>
            </w:r>
            <w:r>
              <w:rPr>
                <w:rFonts w:ascii="Arial" w:eastAsia="宋体" w:hAnsi="Arial" w:cs="Arial" w:hint="eastAsia"/>
                <w:color w:val="000000"/>
                <w:kern w:val="0"/>
                <w:sz w:val="20"/>
                <w:szCs w:val="20"/>
              </w:rPr>
              <w:t>22</w:t>
            </w:r>
          </w:p>
        </w:tc>
        <w:tc>
          <w:tcPr>
            <w:tcW w:w="709"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抚松院</w:t>
            </w:r>
          </w:p>
        </w:tc>
        <w:tc>
          <w:tcPr>
            <w:tcW w:w="567"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127</w:t>
            </w:r>
          </w:p>
        </w:tc>
        <w:tc>
          <w:tcPr>
            <w:tcW w:w="425"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98</w:t>
            </w:r>
          </w:p>
        </w:tc>
        <w:tc>
          <w:tcPr>
            <w:tcW w:w="567"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181</w:t>
            </w:r>
          </w:p>
        </w:tc>
        <w:tc>
          <w:tcPr>
            <w:tcW w:w="567"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181</w:t>
            </w:r>
          </w:p>
        </w:tc>
        <w:tc>
          <w:tcPr>
            <w:tcW w:w="759" w:type="dxa"/>
            <w:tcBorders>
              <w:top w:val="single" w:sz="4" w:space="0" w:color="auto"/>
              <w:left w:val="nil"/>
              <w:bottom w:val="single" w:sz="4" w:space="0" w:color="auto"/>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2018-0</w:t>
            </w:r>
            <w:r>
              <w:rPr>
                <w:rFonts w:ascii="Arial" w:eastAsia="宋体" w:hAnsi="Arial" w:cs="Arial" w:hint="eastAsia"/>
                <w:color w:val="000000"/>
                <w:kern w:val="0"/>
                <w:sz w:val="18"/>
                <w:szCs w:val="18"/>
              </w:rPr>
              <w:t>9</w:t>
            </w:r>
            <w:r>
              <w:rPr>
                <w:rFonts w:ascii="Arial" w:eastAsia="宋体" w:hAnsi="Arial" w:cs="Arial"/>
                <w:color w:val="000000"/>
                <w:kern w:val="0"/>
                <w:sz w:val="18"/>
                <w:szCs w:val="18"/>
              </w:rPr>
              <w:t>-</w:t>
            </w:r>
            <w:r>
              <w:rPr>
                <w:rFonts w:ascii="Arial" w:eastAsia="宋体" w:hAnsi="Arial" w:cs="Arial" w:hint="eastAsia"/>
                <w:color w:val="000000"/>
                <w:kern w:val="0"/>
                <w:sz w:val="18"/>
                <w:szCs w:val="18"/>
              </w:rPr>
              <w:t>26</w:t>
            </w:r>
          </w:p>
        </w:tc>
      </w:tr>
      <w:tr w:rsidR="00123E46">
        <w:trPr>
          <w:trHeight w:val="1005"/>
        </w:trPr>
        <w:tc>
          <w:tcPr>
            <w:tcW w:w="417"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10</w:t>
            </w:r>
          </w:p>
        </w:tc>
        <w:tc>
          <w:tcPr>
            <w:tcW w:w="115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w:t>
            </w:r>
            <w:r>
              <w:rPr>
                <w:rFonts w:ascii="Arial" w:eastAsia="宋体" w:hAnsi="Arial" w:cs="Arial"/>
                <w:color w:val="000000"/>
                <w:kern w:val="0"/>
                <w:sz w:val="18"/>
                <w:szCs w:val="18"/>
              </w:rPr>
              <w:t>2017</w:t>
            </w:r>
            <w:r>
              <w:rPr>
                <w:rFonts w:ascii="Arial" w:eastAsia="宋体" w:hAnsi="Arial" w:cs="Arial"/>
                <w:color w:val="000000"/>
                <w:kern w:val="0"/>
                <w:sz w:val="18"/>
                <w:szCs w:val="18"/>
              </w:rPr>
              <w:t>）吉</w:t>
            </w:r>
            <w:r>
              <w:rPr>
                <w:rFonts w:ascii="Arial" w:eastAsia="宋体" w:hAnsi="Arial" w:cs="Arial"/>
                <w:color w:val="000000"/>
                <w:kern w:val="0"/>
                <w:sz w:val="18"/>
                <w:szCs w:val="18"/>
              </w:rPr>
              <w:t>7601</w:t>
            </w:r>
            <w:r>
              <w:rPr>
                <w:rFonts w:ascii="Arial" w:eastAsia="宋体" w:hAnsi="Arial" w:cs="Arial"/>
                <w:color w:val="000000"/>
                <w:kern w:val="0"/>
                <w:sz w:val="18"/>
                <w:szCs w:val="18"/>
              </w:rPr>
              <w:t>民特</w:t>
            </w:r>
            <w:r>
              <w:rPr>
                <w:rFonts w:ascii="Arial" w:eastAsia="宋体" w:hAnsi="Arial" w:cs="Arial"/>
                <w:color w:val="000000"/>
                <w:kern w:val="0"/>
                <w:sz w:val="18"/>
                <w:szCs w:val="18"/>
              </w:rPr>
              <w:t>1</w:t>
            </w:r>
            <w:r>
              <w:rPr>
                <w:rFonts w:ascii="Arial" w:eastAsia="宋体" w:hAnsi="Arial" w:cs="Arial"/>
                <w:color w:val="000000"/>
                <w:kern w:val="0"/>
                <w:sz w:val="18"/>
                <w:szCs w:val="18"/>
              </w:rPr>
              <w:t>号</w:t>
            </w:r>
          </w:p>
        </w:tc>
        <w:tc>
          <w:tcPr>
            <w:tcW w:w="2268"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王士花诉翟锡财宣告失踪、宣告死亡案件一案</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2017-07-11</w:t>
            </w:r>
          </w:p>
        </w:tc>
        <w:tc>
          <w:tcPr>
            <w:tcW w:w="709"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临江院</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356</w:t>
            </w:r>
          </w:p>
        </w:tc>
        <w:tc>
          <w:tcPr>
            <w:tcW w:w="425"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30</w:t>
            </w:r>
          </w:p>
        </w:tc>
        <w:tc>
          <w:tcPr>
            <w:tcW w:w="567"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30</w:t>
            </w:r>
          </w:p>
        </w:tc>
        <w:tc>
          <w:tcPr>
            <w:tcW w:w="759" w:type="dxa"/>
            <w:tcBorders>
              <w:top w:val="single" w:sz="4" w:space="0" w:color="auto"/>
              <w:left w:val="nil"/>
              <w:bottom w:val="single" w:sz="4" w:space="0" w:color="000000"/>
              <w:right w:val="single" w:sz="4" w:space="0" w:color="000000"/>
            </w:tcBorders>
            <w:shd w:val="clear" w:color="000000" w:fill="FFFFFF"/>
            <w:vAlign w:val="center"/>
          </w:tcPr>
          <w:p w:rsidR="00123E46" w:rsidRDefault="00363513">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2018-0</w:t>
            </w:r>
            <w:r>
              <w:rPr>
                <w:rFonts w:ascii="Arial" w:eastAsia="宋体" w:hAnsi="Arial" w:cs="Arial" w:hint="eastAsia"/>
                <w:color w:val="000000"/>
                <w:kern w:val="0"/>
                <w:sz w:val="18"/>
                <w:szCs w:val="18"/>
              </w:rPr>
              <w:t>8</w:t>
            </w:r>
            <w:r>
              <w:rPr>
                <w:rFonts w:ascii="Arial" w:eastAsia="宋体" w:hAnsi="Arial" w:cs="Arial"/>
                <w:color w:val="000000"/>
                <w:kern w:val="0"/>
                <w:sz w:val="18"/>
                <w:szCs w:val="18"/>
              </w:rPr>
              <w:t>-</w:t>
            </w:r>
            <w:r>
              <w:rPr>
                <w:rFonts w:ascii="Arial" w:eastAsia="宋体" w:hAnsi="Arial" w:cs="Arial" w:hint="eastAsia"/>
                <w:color w:val="000000"/>
                <w:kern w:val="0"/>
                <w:sz w:val="18"/>
                <w:szCs w:val="18"/>
              </w:rPr>
              <w:t>02</w:t>
            </w:r>
          </w:p>
        </w:tc>
      </w:tr>
    </w:tbl>
    <w:p w:rsidR="00123E46" w:rsidRDefault="00123E46">
      <w:pPr>
        <w:spacing w:line="560" w:lineRule="exact"/>
        <w:ind w:firstLineChars="250" w:firstLine="803"/>
        <w:rPr>
          <w:rFonts w:ascii="仿宋" w:eastAsia="仿宋" w:hAnsi="仿宋"/>
          <w:b/>
          <w:sz w:val="32"/>
          <w:szCs w:val="32"/>
        </w:rPr>
      </w:pPr>
    </w:p>
    <w:p w:rsidR="00123E46" w:rsidRDefault="00123E46">
      <w:pPr>
        <w:spacing w:line="560" w:lineRule="exact"/>
        <w:ind w:firstLineChars="250" w:firstLine="803"/>
        <w:rPr>
          <w:rFonts w:ascii="仿宋" w:eastAsia="仿宋" w:hAnsi="仿宋"/>
          <w:b/>
          <w:sz w:val="32"/>
          <w:szCs w:val="32"/>
        </w:rPr>
      </w:pPr>
    </w:p>
    <w:p w:rsidR="000E4D84" w:rsidRDefault="000E4D84">
      <w:pPr>
        <w:spacing w:line="560" w:lineRule="exact"/>
        <w:ind w:firstLineChars="250" w:firstLine="803"/>
        <w:rPr>
          <w:rFonts w:ascii="仿宋" w:eastAsia="仿宋" w:hAnsi="仿宋"/>
          <w:b/>
          <w:sz w:val="32"/>
          <w:szCs w:val="32"/>
        </w:rPr>
      </w:pPr>
    </w:p>
    <w:p w:rsidR="00123E46" w:rsidRDefault="00363513">
      <w:pPr>
        <w:spacing w:line="560" w:lineRule="exact"/>
        <w:ind w:firstLineChars="250" w:firstLine="803"/>
        <w:rPr>
          <w:rFonts w:ascii="仿宋" w:eastAsia="仿宋" w:hAnsi="仿宋"/>
          <w:b/>
          <w:sz w:val="32"/>
          <w:szCs w:val="32"/>
        </w:rPr>
      </w:pPr>
      <w:r>
        <w:rPr>
          <w:rFonts w:ascii="仿宋" w:eastAsia="仿宋" w:hAnsi="仿宋" w:hint="eastAsia"/>
          <w:b/>
          <w:sz w:val="32"/>
          <w:szCs w:val="32"/>
        </w:rPr>
        <w:lastRenderedPageBreak/>
        <w:t>八、两级法院执行工作总体情况</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（一）全部执行类案件</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两级法院旧存执行案件17件，新收108件，旧存加新收合计125件，结案88件，结案率为70.4%,未结案件37件。首次执行案件实际到位金额218.522万元，恢复执行案件实际执行到位金额74.3822万元，总计292.90万元。</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2018年上半年与2017年</w:t>
      </w:r>
      <w:r w:rsidR="00152401">
        <w:rPr>
          <w:rFonts w:ascii="仿宋" w:eastAsia="仿宋" w:hAnsi="仿宋" w:hint="eastAsia"/>
          <w:sz w:val="32"/>
          <w:szCs w:val="32"/>
        </w:rPr>
        <w:t>同期</w:t>
      </w:r>
      <w:r>
        <w:rPr>
          <w:rFonts w:ascii="仿宋" w:eastAsia="仿宋" w:hAnsi="仿宋" w:hint="eastAsia"/>
          <w:sz w:val="32"/>
          <w:szCs w:val="32"/>
        </w:rPr>
        <w:t>相比，旧存减少2件，下降10.53%；新收减少19件，下降10.8%；旧存加新收合计减少21件，下降16.8%；结案减少6件，下降7.5 %；结案率上升4.28个百分点。</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（二）首次执行案件</w:t>
      </w:r>
    </w:p>
    <w:p w:rsidR="00123E46" w:rsidRDefault="00363513" w:rsidP="005215BF">
      <w:pPr>
        <w:ind w:firstLineChars="200" w:firstLine="640"/>
        <w:rPr>
          <w:rFonts w:ascii="仿宋" w:eastAsia="仿宋" w:hAnsi="仿宋"/>
          <w:sz w:val="32"/>
          <w:szCs w:val="32"/>
        </w:rPr>
      </w:pPr>
      <w:r>
        <w:rPr>
          <w:rFonts w:ascii="仿宋" w:eastAsia="仿宋" w:hAnsi="仿宋" w:hint="eastAsia"/>
          <w:sz w:val="32"/>
          <w:szCs w:val="32"/>
        </w:rPr>
        <w:t>2018年上半年，两级法院首次执行案件总数82件，其中旧存执行实施案件10件，新收执行实施案件72件。长春林区两级法院新收执行案件最多的两个基层法院</w:t>
      </w:r>
      <w:r w:rsidR="00152401">
        <w:rPr>
          <w:rFonts w:ascii="仿宋" w:eastAsia="仿宋" w:hAnsi="仿宋" w:hint="eastAsia"/>
          <w:sz w:val="32"/>
          <w:szCs w:val="32"/>
        </w:rPr>
        <w:t>分别</w:t>
      </w:r>
      <w:r>
        <w:rPr>
          <w:rFonts w:ascii="仿宋" w:eastAsia="仿宋" w:hAnsi="仿宋" w:hint="eastAsia"/>
          <w:sz w:val="32"/>
          <w:szCs w:val="32"/>
        </w:rPr>
        <w:t>是抚松林区基层法院（24件，占</w:t>
      </w:r>
      <w:r w:rsidR="008D7F0C">
        <w:rPr>
          <w:rFonts w:ascii="仿宋" w:eastAsia="仿宋" w:hAnsi="仿宋" w:hint="eastAsia"/>
          <w:sz w:val="32"/>
          <w:szCs w:val="32"/>
        </w:rPr>
        <w:t>比为</w:t>
      </w:r>
      <w:r>
        <w:rPr>
          <w:rFonts w:ascii="仿宋" w:eastAsia="仿宋" w:hAnsi="仿宋" w:hint="eastAsia"/>
          <w:sz w:val="32"/>
          <w:szCs w:val="32"/>
        </w:rPr>
        <w:t>29.27%）、红石林区基层法院（16件，占</w:t>
      </w:r>
      <w:r w:rsidR="008D7F0C">
        <w:rPr>
          <w:rFonts w:ascii="仿宋" w:eastAsia="仿宋" w:hAnsi="仿宋" w:hint="eastAsia"/>
          <w:sz w:val="32"/>
          <w:szCs w:val="32"/>
        </w:rPr>
        <w:t>比为</w:t>
      </w:r>
      <w:r>
        <w:rPr>
          <w:rFonts w:ascii="仿宋" w:eastAsia="仿宋" w:hAnsi="仿宋" w:hint="eastAsia"/>
          <w:sz w:val="32"/>
          <w:szCs w:val="32"/>
        </w:rPr>
        <w:t>19.51%）。</w:t>
      </w:r>
    </w:p>
    <w:p w:rsidR="00123E46" w:rsidRDefault="00363513">
      <w:pPr>
        <w:ind w:firstLineChars="200" w:firstLine="640"/>
        <w:rPr>
          <w:rFonts w:ascii="仿宋" w:eastAsia="仿宋" w:hAnsi="仿宋"/>
          <w:sz w:val="32"/>
          <w:szCs w:val="32"/>
        </w:rPr>
      </w:pPr>
      <w:r>
        <w:rPr>
          <w:rFonts w:ascii="仿宋" w:eastAsia="仿宋" w:hAnsi="仿宋" w:hint="eastAsia"/>
          <w:sz w:val="32"/>
          <w:szCs w:val="32"/>
        </w:rPr>
        <w:t>首次执行案件实际执结46件（其中，执行完毕30件，终结执行15件，驳回申请1件，不予执行0件，销案0件）终本9件，未结27件。首次执行案件结案比例情况如图21所示：</w:t>
      </w:r>
    </w:p>
    <w:p w:rsidR="00123E46" w:rsidRDefault="00123E46">
      <w:pPr>
        <w:ind w:firstLineChars="200" w:firstLine="562"/>
        <w:jc w:val="center"/>
        <w:rPr>
          <w:rFonts w:ascii="仿宋" w:eastAsia="仿宋" w:hAnsi="仿宋"/>
          <w:b/>
          <w:sz w:val="28"/>
          <w:szCs w:val="32"/>
        </w:rPr>
      </w:pPr>
    </w:p>
    <w:p w:rsidR="00123E46" w:rsidRDefault="00123E46">
      <w:pPr>
        <w:ind w:firstLineChars="200" w:firstLine="562"/>
        <w:jc w:val="center"/>
        <w:rPr>
          <w:rFonts w:ascii="仿宋" w:eastAsia="仿宋" w:hAnsi="仿宋"/>
          <w:b/>
          <w:sz w:val="28"/>
          <w:szCs w:val="32"/>
        </w:rPr>
      </w:pPr>
    </w:p>
    <w:p w:rsidR="00123E46" w:rsidRDefault="00363513">
      <w:pPr>
        <w:ind w:firstLineChars="200" w:firstLine="562"/>
        <w:jc w:val="center"/>
        <w:rPr>
          <w:rFonts w:ascii="仿宋" w:eastAsia="仿宋" w:hAnsi="仿宋"/>
          <w:b/>
          <w:sz w:val="28"/>
          <w:szCs w:val="32"/>
        </w:rPr>
      </w:pPr>
      <w:r>
        <w:rPr>
          <w:rFonts w:ascii="仿宋" w:eastAsia="仿宋" w:hAnsi="仿宋" w:hint="eastAsia"/>
          <w:b/>
          <w:sz w:val="28"/>
          <w:szCs w:val="32"/>
        </w:rPr>
        <w:lastRenderedPageBreak/>
        <w:t>图21  首次执行案件结案比例情况</w:t>
      </w:r>
    </w:p>
    <w:p w:rsidR="00123E46" w:rsidRDefault="00363513">
      <w:pPr>
        <w:ind w:firstLineChars="200" w:firstLine="640"/>
        <w:jc w:val="center"/>
        <w:rPr>
          <w:rFonts w:ascii="仿宋" w:eastAsia="仿宋" w:hAnsi="仿宋"/>
          <w:sz w:val="32"/>
          <w:szCs w:val="32"/>
        </w:rPr>
      </w:pPr>
      <w:r>
        <w:rPr>
          <w:rFonts w:ascii="仿宋" w:eastAsia="仿宋" w:hAnsi="仿宋"/>
          <w:noProof/>
          <w:sz w:val="32"/>
          <w:szCs w:val="32"/>
        </w:rPr>
        <w:drawing>
          <wp:inline distT="0" distB="0" distL="0" distR="0">
            <wp:extent cx="4493895" cy="2535555"/>
            <wp:effectExtent l="0" t="0" r="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两级院首次执行案件实际执结率（实际执结案件数/首次执行案件数）为56.82%；执行完毕率（执行完毕案件数/首次执行案件数）为34.08%；终本率（终本案件数/首次执行案件数）为9.1%。各院实际执结率、执行完毕率、终本率分别如图22、23、24所示：</w:t>
      </w:r>
    </w:p>
    <w:p w:rsidR="00123E46" w:rsidRDefault="00363513">
      <w:pPr>
        <w:ind w:firstLineChars="177" w:firstLine="498"/>
        <w:jc w:val="center"/>
        <w:rPr>
          <w:rFonts w:ascii="仿宋" w:eastAsia="仿宋" w:hAnsi="仿宋"/>
          <w:color w:val="000000" w:themeColor="text1"/>
          <w:sz w:val="32"/>
          <w:szCs w:val="32"/>
        </w:rPr>
      </w:pPr>
      <w:r>
        <w:rPr>
          <w:rFonts w:ascii="仿宋" w:eastAsia="仿宋" w:hAnsi="仿宋" w:hint="eastAsia"/>
          <w:b/>
          <w:color w:val="000000" w:themeColor="text1"/>
          <w:sz w:val="28"/>
          <w:szCs w:val="32"/>
        </w:rPr>
        <w:t>图22 各院实际执结率</w:t>
      </w:r>
      <w:r>
        <w:rPr>
          <w:rFonts w:ascii="仿宋" w:eastAsia="仿宋" w:hAnsi="仿宋"/>
          <w:noProof/>
          <w:color w:val="FF0000"/>
          <w:sz w:val="32"/>
          <w:szCs w:val="32"/>
        </w:rPr>
        <w:drawing>
          <wp:inline distT="0" distB="0" distL="0" distR="0">
            <wp:extent cx="4933950" cy="267398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23E46" w:rsidRDefault="00123E46">
      <w:pPr>
        <w:ind w:firstLineChars="200" w:firstLine="562"/>
        <w:jc w:val="center"/>
        <w:rPr>
          <w:rFonts w:ascii="仿宋" w:eastAsia="仿宋" w:hAnsi="仿宋"/>
          <w:b/>
          <w:color w:val="000000" w:themeColor="text1"/>
          <w:sz w:val="28"/>
          <w:szCs w:val="32"/>
        </w:rPr>
      </w:pPr>
    </w:p>
    <w:p w:rsidR="00123E46" w:rsidRDefault="00123E46">
      <w:pPr>
        <w:ind w:firstLineChars="200" w:firstLine="562"/>
        <w:jc w:val="center"/>
        <w:rPr>
          <w:rFonts w:ascii="仿宋" w:eastAsia="仿宋" w:hAnsi="仿宋"/>
          <w:b/>
          <w:color w:val="000000" w:themeColor="text1"/>
          <w:sz w:val="28"/>
          <w:szCs w:val="32"/>
        </w:rPr>
      </w:pPr>
    </w:p>
    <w:p w:rsidR="00123E46" w:rsidRDefault="00363513">
      <w:pPr>
        <w:ind w:firstLineChars="200" w:firstLine="562"/>
        <w:jc w:val="center"/>
        <w:rPr>
          <w:rFonts w:ascii="仿宋" w:eastAsia="仿宋" w:hAnsi="仿宋"/>
          <w:b/>
          <w:color w:val="000000" w:themeColor="text1"/>
          <w:sz w:val="28"/>
          <w:szCs w:val="32"/>
        </w:rPr>
      </w:pPr>
      <w:r>
        <w:rPr>
          <w:rFonts w:ascii="仿宋" w:eastAsia="仿宋" w:hAnsi="仿宋" w:hint="eastAsia"/>
          <w:b/>
          <w:color w:val="000000" w:themeColor="text1"/>
          <w:sz w:val="28"/>
          <w:szCs w:val="32"/>
        </w:rPr>
        <w:lastRenderedPageBreak/>
        <w:t>图23   各院执行完毕率</w:t>
      </w:r>
    </w:p>
    <w:p w:rsidR="00123E46" w:rsidRDefault="00363513">
      <w:pPr>
        <w:ind w:firstLineChars="200" w:firstLine="640"/>
        <w:rPr>
          <w:rFonts w:ascii="仿宋" w:eastAsia="仿宋" w:hAnsi="仿宋"/>
          <w:color w:val="FF0000"/>
          <w:sz w:val="32"/>
          <w:szCs w:val="32"/>
        </w:rPr>
      </w:pPr>
      <w:r>
        <w:rPr>
          <w:rFonts w:ascii="仿宋" w:eastAsia="仿宋" w:hAnsi="仿宋"/>
          <w:noProof/>
          <w:color w:val="FF0000"/>
          <w:sz w:val="32"/>
          <w:szCs w:val="32"/>
        </w:rPr>
        <w:drawing>
          <wp:inline distT="0" distB="0" distL="0" distR="0">
            <wp:extent cx="4839335" cy="2760345"/>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23E46" w:rsidRDefault="00123E46">
      <w:pPr>
        <w:ind w:firstLineChars="200" w:firstLine="562"/>
        <w:jc w:val="center"/>
        <w:rPr>
          <w:rFonts w:ascii="仿宋" w:eastAsia="仿宋" w:hAnsi="仿宋"/>
          <w:b/>
          <w:color w:val="000000" w:themeColor="text1"/>
          <w:sz w:val="28"/>
          <w:szCs w:val="32"/>
        </w:rPr>
      </w:pPr>
    </w:p>
    <w:p w:rsidR="00123E46" w:rsidRDefault="00363513">
      <w:pPr>
        <w:ind w:firstLineChars="200" w:firstLine="562"/>
        <w:jc w:val="center"/>
        <w:rPr>
          <w:rFonts w:ascii="仿宋" w:eastAsia="仿宋" w:hAnsi="仿宋"/>
          <w:b/>
          <w:color w:val="000000" w:themeColor="text1"/>
          <w:sz w:val="28"/>
          <w:szCs w:val="32"/>
        </w:rPr>
      </w:pPr>
      <w:r>
        <w:rPr>
          <w:rFonts w:ascii="仿宋" w:eastAsia="仿宋" w:hAnsi="仿宋" w:hint="eastAsia"/>
          <w:b/>
          <w:color w:val="000000" w:themeColor="text1"/>
          <w:sz w:val="28"/>
          <w:szCs w:val="32"/>
        </w:rPr>
        <w:t>图24   各院终本率</w:t>
      </w:r>
    </w:p>
    <w:p w:rsidR="00123E46" w:rsidRDefault="00363513">
      <w:pPr>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inline distT="0" distB="0" distL="0" distR="0">
            <wp:extent cx="4645660" cy="2544445"/>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2018年上半年，两级法院首次执行实施案件实际执行到位金额218.522万元，未执行到位金额1446.0797万元，实际执行到位率（实际执行到位金额/首次执行案件申请执行标的金额）为15.11%。</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实际执行到位金额218.522万元中，执行完毕案件结案金额193.9645万元，终本案件已执行到位金额3.899万元，</w:t>
      </w:r>
      <w:r>
        <w:rPr>
          <w:rFonts w:ascii="仿宋" w:eastAsia="仿宋" w:hAnsi="仿宋" w:hint="eastAsia"/>
          <w:sz w:val="32"/>
          <w:szCs w:val="32"/>
        </w:rPr>
        <w:lastRenderedPageBreak/>
        <w:t>未执结案件执行到位金额20.6585万元。实际执行到位金额构成比例情况如图25所示：</w:t>
      </w:r>
    </w:p>
    <w:p w:rsidR="00123E46" w:rsidRDefault="00123E46">
      <w:pPr>
        <w:spacing w:line="560" w:lineRule="exact"/>
        <w:ind w:firstLineChars="200" w:firstLine="640"/>
        <w:rPr>
          <w:rFonts w:ascii="仿宋" w:eastAsia="仿宋" w:hAnsi="仿宋"/>
          <w:sz w:val="32"/>
          <w:szCs w:val="32"/>
        </w:rPr>
      </w:pPr>
    </w:p>
    <w:p w:rsidR="00123E46" w:rsidRDefault="00363513">
      <w:pPr>
        <w:ind w:firstLineChars="200" w:firstLine="562"/>
        <w:jc w:val="center"/>
        <w:rPr>
          <w:rFonts w:ascii="仿宋" w:eastAsia="仿宋" w:hAnsi="仿宋"/>
          <w:b/>
          <w:sz w:val="28"/>
          <w:szCs w:val="32"/>
        </w:rPr>
      </w:pPr>
      <w:r>
        <w:rPr>
          <w:rFonts w:ascii="仿宋" w:eastAsia="仿宋" w:hAnsi="仿宋" w:hint="eastAsia"/>
          <w:b/>
          <w:sz w:val="28"/>
          <w:szCs w:val="32"/>
        </w:rPr>
        <w:t>图25 实际执行到位金额构成比例情况</w:t>
      </w:r>
    </w:p>
    <w:p w:rsidR="00123E46" w:rsidRDefault="00363513">
      <w:pPr>
        <w:ind w:firstLineChars="200" w:firstLine="640"/>
        <w:rPr>
          <w:rFonts w:ascii="仿宋" w:eastAsia="仿宋" w:hAnsi="仿宋"/>
          <w:sz w:val="32"/>
          <w:szCs w:val="32"/>
        </w:rPr>
      </w:pPr>
      <w:r>
        <w:rPr>
          <w:rFonts w:ascii="仿宋" w:eastAsia="仿宋" w:hAnsi="仿宋"/>
          <w:noProof/>
          <w:sz w:val="32"/>
          <w:szCs w:val="32"/>
        </w:rPr>
        <w:drawing>
          <wp:inline distT="0" distB="0" distL="0" distR="0">
            <wp:extent cx="4907915" cy="2656840"/>
            <wp:effectExtent l="0" t="0" r="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2018年上半年，两级法院首次执行案件结案平均用时56.19天，法定期限内结案率（法定期限内结案数/首次执行案件结案数）100%。</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（三）执行综合管理</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2018年上半年，最高人民法院向两级法院发起各类执行督办24件（包括重点案件督办、舆情督办、信访督办等），办结24件，办结率100%，平均办理用时3天。</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九、态势分析及问题</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（一）两级法院收结案表现为“四降一升”的特点</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w:t>
      </w:r>
      <w:r w:rsidR="000333E6">
        <w:rPr>
          <w:rFonts w:ascii="仿宋" w:eastAsia="仿宋" w:hAnsi="仿宋" w:hint="eastAsia"/>
          <w:sz w:val="32"/>
          <w:szCs w:val="32"/>
        </w:rPr>
        <w:t>与2017</w:t>
      </w:r>
      <w:r w:rsidR="00561F30">
        <w:rPr>
          <w:rFonts w:ascii="仿宋" w:eastAsia="仿宋" w:hAnsi="仿宋" w:hint="eastAsia"/>
          <w:sz w:val="32"/>
          <w:szCs w:val="32"/>
        </w:rPr>
        <w:t>年</w:t>
      </w:r>
      <w:r w:rsidR="000333E6">
        <w:rPr>
          <w:rFonts w:ascii="仿宋" w:eastAsia="仿宋" w:hAnsi="仿宋" w:hint="eastAsia"/>
          <w:sz w:val="32"/>
          <w:szCs w:val="32"/>
        </w:rPr>
        <w:t>同期相比，</w:t>
      </w:r>
      <w:r>
        <w:rPr>
          <w:rFonts w:ascii="仿宋" w:eastAsia="仿宋" w:hAnsi="仿宋" w:hint="eastAsia"/>
          <w:sz w:val="32"/>
          <w:szCs w:val="32"/>
        </w:rPr>
        <w:t>长春林区两级法院各类案件旧存案件数、新收案件数、已结案件数、未结案件数均呈下降趋势，旧存、新收、已结、未结案件分别下降34.18%、5.06%、6.71%、16.91%，结案率同比上升2.08个</w:t>
      </w:r>
      <w:r>
        <w:rPr>
          <w:rFonts w:ascii="仿宋" w:eastAsia="仿宋" w:hAnsi="仿宋" w:hint="eastAsia"/>
          <w:sz w:val="32"/>
          <w:szCs w:val="32"/>
        </w:rPr>
        <w:lastRenderedPageBreak/>
        <w:t>百分点。其中，诉讼类案件旧存、新收、已结、未结案件分别下降41.67%、1.76%、6.62%、11.90%，结案率同比上升0.92个百分点。</w:t>
      </w:r>
      <w:r w:rsidR="00FC2782">
        <w:rPr>
          <w:rFonts w:ascii="仿宋" w:eastAsia="仿宋" w:hAnsi="仿宋" w:hint="eastAsia"/>
          <w:sz w:val="32"/>
          <w:szCs w:val="32"/>
        </w:rPr>
        <w:t>旧存案件下降幅度较大，一方面是因为新形势下各院狠抓执法办案工作；</w:t>
      </w:r>
      <w:r>
        <w:rPr>
          <w:rFonts w:ascii="仿宋" w:eastAsia="仿宋" w:hAnsi="仿宋" w:hint="eastAsia"/>
          <w:sz w:val="32"/>
          <w:szCs w:val="32"/>
        </w:rPr>
        <w:t>另一方面是因为2017年的结案数量将影响各院审判绩效考核，所以各院上一年度加大了案件审结力度。2018年上半年新收诉讼类案件中，抚松院和红石院占比较大，分别</w:t>
      </w:r>
      <w:r w:rsidR="008C3393">
        <w:rPr>
          <w:rFonts w:ascii="仿宋" w:eastAsia="仿宋" w:hAnsi="仿宋" w:hint="eastAsia"/>
          <w:sz w:val="32"/>
          <w:szCs w:val="32"/>
        </w:rPr>
        <w:t>为</w:t>
      </w:r>
      <w:r>
        <w:rPr>
          <w:rFonts w:ascii="仿宋" w:eastAsia="仿宋" w:hAnsi="仿宋" w:hint="eastAsia"/>
          <w:sz w:val="32"/>
          <w:szCs w:val="32"/>
        </w:rPr>
        <w:t>25.37%、21.79%，但红石院的新收案件</w:t>
      </w:r>
      <w:r w:rsidR="008C3393">
        <w:rPr>
          <w:rFonts w:ascii="仿宋" w:eastAsia="仿宋" w:hAnsi="仿宋" w:hint="eastAsia"/>
          <w:sz w:val="32"/>
          <w:szCs w:val="32"/>
        </w:rPr>
        <w:t>同比</w:t>
      </w:r>
      <w:r>
        <w:rPr>
          <w:rFonts w:ascii="仿宋" w:eastAsia="仿宋" w:hAnsi="仿宋" w:hint="eastAsia"/>
          <w:sz w:val="32"/>
          <w:szCs w:val="32"/>
        </w:rPr>
        <w:t>下降幅度</w:t>
      </w:r>
      <w:r w:rsidR="008C3393">
        <w:rPr>
          <w:rFonts w:ascii="仿宋" w:eastAsia="仿宋" w:hAnsi="仿宋" w:hint="eastAsia"/>
          <w:sz w:val="32"/>
          <w:szCs w:val="32"/>
        </w:rPr>
        <w:t>最</w:t>
      </w:r>
      <w:r>
        <w:rPr>
          <w:rFonts w:ascii="仿宋" w:eastAsia="仿宋" w:hAnsi="仿宋" w:hint="eastAsia"/>
          <w:sz w:val="32"/>
          <w:szCs w:val="32"/>
        </w:rPr>
        <w:t>大，下降21件，主要是由于红石院供用热力合同纠纷案件减少（2017年上半年34件，2018年上半年20件，减少14件）。</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（二）新收二审案件、再审案件同比上升，案件质效考核指标值偏低</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w:t>
      </w:r>
      <w:r w:rsidR="00765379">
        <w:rPr>
          <w:rFonts w:ascii="仿宋" w:eastAsia="仿宋" w:hAnsi="仿宋" w:hint="eastAsia"/>
          <w:sz w:val="32"/>
          <w:szCs w:val="32"/>
        </w:rPr>
        <w:t>与2017年同期相比</w:t>
      </w:r>
      <w:r w:rsidR="00FE5BD4">
        <w:rPr>
          <w:rFonts w:ascii="仿宋" w:eastAsia="仿宋" w:hAnsi="仿宋" w:hint="eastAsia"/>
          <w:sz w:val="32"/>
          <w:szCs w:val="32"/>
        </w:rPr>
        <w:t>，</w:t>
      </w:r>
      <w:r>
        <w:rPr>
          <w:rFonts w:ascii="仿宋" w:eastAsia="仿宋" w:hAnsi="仿宋" w:hint="eastAsia"/>
          <w:sz w:val="32"/>
          <w:szCs w:val="32"/>
        </w:rPr>
        <w:t>新收一审案件下降1.64%，新收二审案件上升14.81%，新收再审案件上升100%（1件）。</w:t>
      </w:r>
      <w:r w:rsidR="00D53F04">
        <w:rPr>
          <w:rFonts w:ascii="仿宋" w:eastAsia="仿宋" w:hAnsi="仿宋" w:hint="eastAsia"/>
          <w:sz w:val="32"/>
          <w:szCs w:val="32"/>
        </w:rPr>
        <w:t>新收二审案件上升主要</w:t>
      </w:r>
      <w:r w:rsidR="00FC2782">
        <w:rPr>
          <w:rFonts w:ascii="仿宋" w:eastAsia="仿宋" w:hAnsi="仿宋" w:hint="eastAsia"/>
          <w:sz w:val="32"/>
          <w:szCs w:val="32"/>
        </w:rPr>
        <w:t>是</w:t>
      </w:r>
      <w:r w:rsidR="00D53F04">
        <w:rPr>
          <w:rFonts w:ascii="仿宋" w:eastAsia="仿宋" w:hAnsi="仿宋" w:hint="eastAsia"/>
          <w:sz w:val="32"/>
          <w:szCs w:val="32"/>
        </w:rPr>
        <w:t>由于2018年上半年的新收行政案件多于2017年（2017年上半年新收行政一审案件2件，行政二审案件0件；2018年上半年新收行政一审案件11件，行政二审案件3件）；</w:t>
      </w:r>
      <w:r>
        <w:rPr>
          <w:rFonts w:ascii="仿宋" w:eastAsia="仿宋" w:hAnsi="仿宋" w:hint="eastAsia"/>
          <w:sz w:val="32"/>
          <w:szCs w:val="32"/>
        </w:rPr>
        <w:t>一审服判息诉率为92%，</w:t>
      </w:r>
      <w:r w:rsidR="00D53F04">
        <w:rPr>
          <w:rFonts w:ascii="仿宋" w:eastAsia="仿宋" w:hAnsi="仿宋" w:hint="eastAsia"/>
          <w:sz w:val="32"/>
          <w:szCs w:val="32"/>
        </w:rPr>
        <w:t>同比</w:t>
      </w:r>
      <w:r w:rsidR="00D53F04" w:rsidRPr="00A36DCD">
        <w:rPr>
          <w:rFonts w:ascii="仿宋" w:eastAsia="仿宋" w:hAnsi="仿宋" w:hint="eastAsia"/>
          <w:bCs/>
          <w:sz w:val="32"/>
          <w:szCs w:val="32"/>
        </w:rPr>
        <w:t>上升</w:t>
      </w:r>
      <w:r w:rsidR="00D53F04">
        <w:rPr>
          <w:rFonts w:ascii="仿宋" w:eastAsia="仿宋" w:hAnsi="仿宋" w:hint="eastAsia"/>
          <w:bCs/>
          <w:sz w:val="32"/>
          <w:szCs w:val="32"/>
        </w:rPr>
        <w:t>1.39个</w:t>
      </w:r>
      <w:r w:rsidR="00D53F04" w:rsidRPr="00A36DCD">
        <w:rPr>
          <w:rFonts w:ascii="仿宋" w:eastAsia="仿宋" w:hAnsi="仿宋" w:hint="eastAsia"/>
          <w:bCs/>
          <w:sz w:val="32"/>
          <w:szCs w:val="32"/>
        </w:rPr>
        <w:t>百分点</w:t>
      </w:r>
      <w:r w:rsidR="00D53F04">
        <w:rPr>
          <w:rFonts w:ascii="仿宋" w:eastAsia="仿宋" w:hAnsi="仿宋" w:hint="eastAsia"/>
          <w:sz w:val="32"/>
          <w:szCs w:val="32"/>
        </w:rPr>
        <w:t>，虽高于省院审判绩效考核设定的基础比率90%，但此项为加分项，从全省来看我院这一指标值偏低，其他地区法院此项加分能够达到上限，意味着我院此项指标考核成绩将落后；</w:t>
      </w:r>
      <w:r>
        <w:rPr>
          <w:rFonts w:ascii="仿宋" w:eastAsia="仿宋" w:hAnsi="仿宋" w:hint="eastAsia"/>
          <w:sz w:val="32"/>
          <w:szCs w:val="32"/>
        </w:rPr>
        <w:t>生效案件再审被改判、发回重审率为0.76%，</w:t>
      </w:r>
      <w:r w:rsidR="00D53F04">
        <w:rPr>
          <w:rFonts w:ascii="仿宋" w:eastAsia="仿宋" w:hAnsi="仿宋" w:hint="eastAsia"/>
          <w:sz w:val="32"/>
          <w:szCs w:val="32"/>
        </w:rPr>
        <w:t>高于省院审判绩效考核基础发改率指标值（0.35%）4.1个百分点，上半年此项考核指标将会扣掉2分；生效案</w:t>
      </w:r>
      <w:r w:rsidR="00D53F04">
        <w:rPr>
          <w:rFonts w:ascii="仿宋" w:eastAsia="仿宋" w:hAnsi="仿宋" w:hint="eastAsia"/>
          <w:sz w:val="32"/>
          <w:szCs w:val="32"/>
        </w:rPr>
        <w:lastRenderedPageBreak/>
        <w:t>件申诉率指标值7.22%，高于省院</w:t>
      </w:r>
      <w:r w:rsidR="00442746">
        <w:rPr>
          <w:rFonts w:ascii="仿宋" w:eastAsia="仿宋" w:hAnsi="仿宋" w:hint="eastAsia"/>
          <w:sz w:val="32"/>
          <w:szCs w:val="32"/>
        </w:rPr>
        <w:t>审判</w:t>
      </w:r>
      <w:r w:rsidR="00D53F04">
        <w:rPr>
          <w:rFonts w:ascii="仿宋" w:eastAsia="仿宋" w:hAnsi="仿宋" w:hint="eastAsia"/>
          <w:sz w:val="32"/>
          <w:szCs w:val="32"/>
        </w:rPr>
        <w:t>绩效考核基础比率</w:t>
      </w:r>
      <w:r w:rsidR="00442746">
        <w:rPr>
          <w:rFonts w:ascii="仿宋" w:eastAsia="仿宋" w:hAnsi="仿宋" w:hint="eastAsia"/>
          <w:sz w:val="32"/>
          <w:szCs w:val="32"/>
        </w:rPr>
        <w:t>（4%）</w:t>
      </w:r>
      <w:r w:rsidR="00D53F04">
        <w:rPr>
          <w:rFonts w:ascii="仿宋" w:eastAsia="仿宋" w:hAnsi="仿宋" w:hint="eastAsia"/>
          <w:sz w:val="32"/>
          <w:szCs w:val="32"/>
        </w:rPr>
        <w:t>3.22个百分点，上半年此项考核指标将会扣掉1.6分。</w:t>
      </w:r>
      <w:r>
        <w:rPr>
          <w:rFonts w:ascii="仿宋" w:eastAsia="仿宋" w:hAnsi="仿宋" w:hint="eastAsia"/>
          <w:sz w:val="32"/>
          <w:szCs w:val="32"/>
        </w:rPr>
        <w:t>（向省法院申诉案件8件，向中院申诉案件4件，向基层院申诉案件7件，</w:t>
      </w:r>
      <w:r w:rsidR="00FE5BD4">
        <w:rPr>
          <w:rFonts w:ascii="仿宋" w:eastAsia="仿宋" w:hAnsi="仿宋" w:hint="eastAsia"/>
          <w:sz w:val="32"/>
          <w:szCs w:val="32"/>
        </w:rPr>
        <w:t>2018年上半年</w:t>
      </w:r>
      <w:r>
        <w:rPr>
          <w:rFonts w:ascii="仿宋" w:eastAsia="仿宋" w:hAnsi="仿宋" w:hint="eastAsia"/>
          <w:sz w:val="32"/>
          <w:szCs w:val="32"/>
        </w:rPr>
        <w:t>生效案件总数为263件，审查监督案件具体情况详见附件）。</w:t>
      </w:r>
      <w:r w:rsidR="00591CFC">
        <w:rPr>
          <w:rFonts w:ascii="仿宋" w:eastAsia="仿宋" w:hAnsi="仿宋" w:hint="eastAsia"/>
          <w:sz w:val="32"/>
          <w:szCs w:val="32"/>
        </w:rPr>
        <w:t>从申诉案件的具体情况来看，有7件案件是与红石院的长期未结案件有关，</w:t>
      </w:r>
      <w:r w:rsidR="00766F19">
        <w:rPr>
          <w:rFonts w:ascii="仿宋" w:eastAsia="仿宋" w:hAnsi="仿宋" w:hint="eastAsia"/>
          <w:sz w:val="32"/>
          <w:szCs w:val="32"/>
        </w:rPr>
        <w:t>向省院申诉的8件案件已结6件，结案方式都是驳回申诉，一方面说明原审</w:t>
      </w:r>
      <w:r w:rsidR="00111547">
        <w:rPr>
          <w:rFonts w:ascii="仿宋" w:eastAsia="仿宋" w:hAnsi="仿宋" w:hint="eastAsia"/>
          <w:sz w:val="32"/>
          <w:szCs w:val="32"/>
        </w:rPr>
        <w:t>认定事实清楚，适用法律正确；另一方面也说明</w:t>
      </w:r>
      <w:r w:rsidR="00E35F16">
        <w:rPr>
          <w:rFonts w:ascii="仿宋" w:eastAsia="仿宋" w:hAnsi="仿宋" w:hint="eastAsia"/>
          <w:sz w:val="32"/>
          <w:szCs w:val="32"/>
        </w:rPr>
        <w:t>有些案件的息诉服判效果不理想，当事人对法院以及法官的裁判结果不信服</w:t>
      </w:r>
      <w:r w:rsidR="00EA3676">
        <w:rPr>
          <w:rFonts w:ascii="仿宋" w:eastAsia="仿宋" w:hAnsi="仿宋" w:hint="eastAsia"/>
          <w:sz w:val="32"/>
          <w:szCs w:val="32"/>
        </w:rPr>
        <w:t>。</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（三）季度末突击结案问题突出，月度结收比不均衡</w:t>
      </w:r>
    </w:p>
    <w:p w:rsidR="00123E46" w:rsidRDefault="00363513">
      <w:pPr>
        <w:widowControl/>
        <w:spacing w:line="540" w:lineRule="atLeast"/>
        <w:ind w:firstLine="552"/>
        <w:jc w:val="left"/>
        <w:rPr>
          <w:rFonts w:ascii="仿宋" w:eastAsia="仿宋" w:hAnsi="仿宋"/>
          <w:sz w:val="32"/>
          <w:szCs w:val="32"/>
        </w:rPr>
      </w:pPr>
      <w:r>
        <w:rPr>
          <w:rFonts w:ascii="仿宋" w:eastAsia="仿宋" w:hAnsi="仿宋" w:hint="eastAsia"/>
          <w:sz w:val="32"/>
          <w:szCs w:val="32"/>
        </w:rPr>
        <w:t>2018年上半年，两级法院1月、4月、5月新收案件数量较多。2月结收比实现均衡，6月结收比达到130.95%，其它月份结收比均低于100%。各院月度结收比均呈现出不均衡的态势，季度末突击结案问题突出，虽有一定的规律性、合理性，但</w:t>
      </w:r>
      <w:r w:rsidR="00442746">
        <w:rPr>
          <w:rFonts w:ascii="仿宋" w:eastAsia="仿宋" w:hAnsi="仿宋" w:hint="eastAsia"/>
          <w:sz w:val="32"/>
          <w:szCs w:val="32"/>
        </w:rPr>
        <w:t>集中结案</w:t>
      </w:r>
      <w:r>
        <w:rPr>
          <w:rFonts w:ascii="仿宋" w:eastAsia="仿宋" w:hAnsi="仿宋" w:hint="eastAsia"/>
          <w:sz w:val="32"/>
          <w:szCs w:val="32"/>
        </w:rPr>
        <w:t>是否存在案件质量隐患应引起重视。</w:t>
      </w:r>
    </w:p>
    <w:p w:rsidR="00123E46" w:rsidRDefault="00363513">
      <w:pPr>
        <w:widowControl/>
        <w:spacing w:line="540" w:lineRule="atLeast"/>
        <w:ind w:firstLine="552"/>
        <w:jc w:val="left"/>
        <w:rPr>
          <w:rFonts w:ascii="仿宋" w:eastAsia="仿宋" w:hAnsi="仿宋"/>
          <w:b/>
          <w:sz w:val="32"/>
          <w:szCs w:val="32"/>
        </w:rPr>
      </w:pPr>
      <w:r>
        <w:rPr>
          <w:rFonts w:ascii="仿宋" w:eastAsia="仿宋" w:hAnsi="仿宋" w:hint="eastAsia"/>
          <w:b/>
          <w:sz w:val="32"/>
          <w:szCs w:val="32"/>
        </w:rPr>
        <w:t>（四）诉讼案件结案率虽小幅上升，但个别法院结案率偏低</w:t>
      </w:r>
    </w:p>
    <w:p w:rsidR="00123E46" w:rsidRDefault="00363513">
      <w:pPr>
        <w:widowControl/>
        <w:spacing w:line="540" w:lineRule="atLeast"/>
        <w:ind w:firstLine="552"/>
        <w:jc w:val="left"/>
        <w:rPr>
          <w:rFonts w:ascii="仿宋" w:eastAsia="仿宋" w:hAnsi="仿宋"/>
          <w:sz w:val="32"/>
          <w:szCs w:val="32"/>
        </w:rPr>
      </w:pPr>
      <w:r>
        <w:rPr>
          <w:rFonts w:ascii="仿宋" w:eastAsia="仿宋" w:hAnsi="仿宋" w:hint="eastAsia"/>
          <w:sz w:val="32"/>
          <w:szCs w:val="32"/>
        </w:rPr>
        <w:t>2018年上半年诉讼</w:t>
      </w:r>
      <w:r w:rsidR="00502970">
        <w:rPr>
          <w:rFonts w:ascii="仿宋" w:eastAsia="仿宋" w:hAnsi="仿宋" w:hint="eastAsia"/>
          <w:sz w:val="32"/>
          <w:szCs w:val="32"/>
        </w:rPr>
        <w:t>类</w:t>
      </w:r>
      <w:r>
        <w:rPr>
          <w:rFonts w:ascii="仿宋" w:eastAsia="仿宋" w:hAnsi="仿宋" w:hint="eastAsia"/>
          <w:sz w:val="32"/>
          <w:szCs w:val="32"/>
        </w:rPr>
        <w:t>案件结案率为80%，</w:t>
      </w:r>
      <w:r w:rsidR="00502970">
        <w:rPr>
          <w:rFonts w:ascii="仿宋" w:eastAsia="仿宋" w:hAnsi="仿宋" w:hint="eastAsia"/>
          <w:sz w:val="32"/>
          <w:szCs w:val="32"/>
        </w:rPr>
        <w:t>同比</w:t>
      </w:r>
      <w:r>
        <w:rPr>
          <w:rFonts w:ascii="仿宋" w:eastAsia="仿宋" w:hAnsi="仿宋" w:hint="eastAsia"/>
          <w:sz w:val="32"/>
          <w:szCs w:val="32"/>
        </w:rPr>
        <w:t>上升0.95个百分点（省院审判绩效考核上半年诉讼案件基础结案率指标值设定为60%，年度指标值设定为86%），但从全省法院来看，此项指标值并不高。中院、红石院、白石山院结案率低</w:t>
      </w:r>
      <w:r>
        <w:rPr>
          <w:rFonts w:ascii="仿宋" w:eastAsia="仿宋" w:hAnsi="仿宋" w:hint="eastAsia"/>
          <w:sz w:val="32"/>
          <w:szCs w:val="32"/>
        </w:rPr>
        <w:lastRenderedPageBreak/>
        <w:t>于80%，红石院结案率偏低，为71.91%，主要由于上文所述的8件未结案件</w:t>
      </w:r>
      <w:r w:rsidR="00FC2782">
        <w:rPr>
          <w:rFonts w:ascii="仿宋" w:eastAsia="仿宋" w:hAnsi="仿宋" w:hint="eastAsia"/>
          <w:sz w:val="32"/>
          <w:szCs w:val="32"/>
        </w:rPr>
        <w:t>导致</w:t>
      </w:r>
      <w:r>
        <w:rPr>
          <w:rFonts w:ascii="仿宋" w:eastAsia="仿宋" w:hAnsi="仿宋" w:hint="eastAsia"/>
          <w:sz w:val="32"/>
          <w:szCs w:val="32"/>
        </w:rPr>
        <w:t>。</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(五)执行案件结案率总体上升，但实际执行到位率偏低</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执行案件结案率同比上升4.8个百分点，这说明两级法院执行攻坚取得了一定的效果，但实际执结到位率为15.11%，这说明执行案件在一定时间内仍然会处于高位运行的状态，执行压力巨大的局面还没有根本性的扭转，仍需进一步</w:t>
      </w:r>
      <w:r w:rsidR="00FC2782">
        <w:rPr>
          <w:rFonts w:ascii="仿宋" w:eastAsia="仿宋" w:hAnsi="仿宋" w:hint="eastAsia"/>
          <w:sz w:val="32"/>
          <w:szCs w:val="32"/>
        </w:rPr>
        <w:t>加大</w:t>
      </w:r>
      <w:r>
        <w:rPr>
          <w:rFonts w:ascii="仿宋" w:eastAsia="仿宋" w:hAnsi="仿宋" w:hint="eastAsia"/>
          <w:sz w:val="32"/>
          <w:szCs w:val="32"/>
        </w:rPr>
        <w:t>执行案件的执结力度。</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十、下一步工作建议</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2018年上半年，在中院党组的正确领导下，长春林区两级法院审判执行工作运行态势总体向好，但距离实际目标尚有一定差距，下一步</w:t>
      </w:r>
      <w:r w:rsidR="00FC2782">
        <w:rPr>
          <w:rFonts w:ascii="仿宋" w:eastAsia="仿宋" w:hAnsi="仿宋" w:hint="eastAsia"/>
          <w:sz w:val="32"/>
          <w:szCs w:val="32"/>
        </w:rPr>
        <w:t>各院</w:t>
      </w:r>
      <w:r>
        <w:rPr>
          <w:rFonts w:ascii="仿宋" w:eastAsia="仿宋" w:hAnsi="仿宋" w:hint="eastAsia"/>
          <w:sz w:val="32"/>
          <w:szCs w:val="32"/>
        </w:rPr>
        <w:t>应紧紧围绕中院党组关于执法办案工作的部署，尽快扭转不利局面，继续狠抓执法办案工作，全面提升执法办案工作的质量和效率，力争下半年的审判执行工作取得优异成绩。</w:t>
      </w:r>
    </w:p>
    <w:p w:rsidR="00123E46" w:rsidRDefault="00363513">
      <w:pPr>
        <w:spacing w:line="520" w:lineRule="exact"/>
        <w:ind w:firstLineChars="200" w:firstLine="643"/>
        <w:rPr>
          <w:rFonts w:ascii="仿宋" w:eastAsia="仿宋" w:hAnsi="仿宋"/>
          <w:b/>
          <w:sz w:val="32"/>
          <w:szCs w:val="32"/>
        </w:rPr>
      </w:pPr>
      <w:r>
        <w:rPr>
          <w:rFonts w:ascii="仿宋" w:eastAsia="仿宋" w:hAnsi="仿宋" w:hint="eastAsia"/>
          <w:b/>
          <w:sz w:val="32"/>
          <w:szCs w:val="32"/>
        </w:rPr>
        <w:t>（一）全面加强案件审执结力度</w:t>
      </w:r>
    </w:p>
    <w:p w:rsidR="00123E46" w:rsidRDefault="00363513">
      <w:pPr>
        <w:ind w:firstLine="645"/>
        <w:rPr>
          <w:rFonts w:ascii="仿宋" w:eastAsia="仿宋" w:hAnsi="仿宋"/>
          <w:sz w:val="32"/>
          <w:szCs w:val="32"/>
        </w:rPr>
      </w:pPr>
      <w:r>
        <w:rPr>
          <w:rFonts w:ascii="仿宋" w:eastAsia="仿宋" w:hAnsi="仿宋" w:hint="eastAsia"/>
          <w:sz w:val="32"/>
          <w:szCs w:val="32"/>
        </w:rPr>
        <w:t>提升案件结案率是目前全省法院的重点工作，2018年上半年长春林区两级法院结案率虽有小幅上升，但未达到理想效果</w:t>
      </w:r>
      <w:r w:rsidR="00E84401">
        <w:rPr>
          <w:rFonts w:ascii="仿宋" w:eastAsia="仿宋" w:hAnsi="仿宋" w:hint="eastAsia"/>
          <w:sz w:val="32"/>
          <w:szCs w:val="32"/>
        </w:rPr>
        <w:t>。</w:t>
      </w:r>
      <w:r>
        <w:rPr>
          <w:rFonts w:ascii="仿宋" w:eastAsia="仿宋" w:hAnsi="仿宋" w:hint="eastAsia"/>
          <w:sz w:val="32"/>
          <w:szCs w:val="32"/>
        </w:rPr>
        <w:t>下一步各院应加大案件审执结力度。一是要强化月度均衡结案，避免出现“边清边积”问题，避免季度末突击结案，集中结案很容易出现案件质量问题，应高度注意，努力实现案件收结良性循环；二是要加强审限管理，严格规范审限审批流程，避免审限审批权滥用导致案件久拖不决；三是要全面落实案件繁简分流、调解机制，充分发挥简案快审、</w:t>
      </w:r>
      <w:r>
        <w:rPr>
          <w:rFonts w:ascii="仿宋" w:eastAsia="仿宋" w:hAnsi="仿宋" w:hint="eastAsia"/>
          <w:sz w:val="32"/>
          <w:szCs w:val="32"/>
        </w:rPr>
        <w:lastRenderedPageBreak/>
        <w:t>繁案精审的积极作用，提高简易程序适用率，加大当庭宣判力度，提升庭审效率，落实庭审实质化要求，努力提升审判效率。2018年上半年长春林区两级法院简易程序适用率有所上升，但临江院（77.50%）和江源院（72.34%）的简易程序适用率较其他法院相比不高，可以进一步提升简易程序适用率；四是要继续做好执行攻坚工作，充分利用执行指挥管理平台，提高执结效率。</w:t>
      </w:r>
    </w:p>
    <w:p w:rsidR="00123E46" w:rsidRDefault="00363513">
      <w:pPr>
        <w:spacing w:line="560" w:lineRule="exact"/>
        <w:ind w:firstLineChars="200" w:firstLine="643"/>
        <w:rPr>
          <w:rFonts w:ascii="仿宋" w:eastAsia="仿宋" w:hAnsi="仿宋"/>
          <w:b/>
          <w:sz w:val="32"/>
          <w:szCs w:val="32"/>
        </w:rPr>
      </w:pPr>
      <w:r>
        <w:rPr>
          <w:rFonts w:ascii="仿宋" w:eastAsia="仿宋" w:hAnsi="仿宋" w:hint="eastAsia"/>
          <w:b/>
          <w:sz w:val="32"/>
          <w:szCs w:val="32"/>
        </w:rPr>
        <w:t>（二）全面提升案件审判质量和效果</w:t>
      </w:r>
    </w:p>
    <w:p w:rsidR="00123E46" w:rsidRDefault="00363513">
      <w:pPr>
        <w:spacing w:line="560" w:lineRule="exact"/>
        <w:ind w:firstLineChars="200" w:firstLine="640"/>
        <w:rPr>
          <w:rFonts w:ascii="仿宋" w:eastAsia="仿宋" w:hAnsi="仿宋"/>
          <w:sz w:val="32"/>
          <w:szCs w:val="32"/>
        </w:rPr>
      </w:pPr>
      <w:r>
        <w:rPr>
          <w:rFonts w:ascii="仿宋" w:eastAsia="仿宋" w:hAnsi="仿宋" w:hint="eastAsia"/>
          <w:sz w:val="32"/>
          <w:szCs w:val="32"/>
        </w:rPr>
        <w:t>当前，提升案件审判质效是长春林区两级法院的工作重点之一，两级法院案件基数相对较小，这是我们两级法院的“阿喀琉斯之踵”，一件案件审判质量和效果出现问题都将影响两级法院的整体考核，所以各院务必抓好案件审理工作，有效提升案件审判质量。一是要充分发挥各院审判委员会审判决策、审判管理、审判指导、审判监督的作用，对于审判工作中的重大问题，应充分进行研判，保障案件质量;二是要进一步强化合议庭职责，对于合议制的案件，合议庭成员应发挥各自的作用，认真履行职责，坚决避免合议庭合而不议；三是要各院、各审判业务部门应严格落实省高院及中院关于加强案件审判质量管理的相关规定，认真总结经验，及时针对上半年出现的新情况、新问题作出相应调整；四是要常态化开展案件质量评查工作，对于发改指案件应认真研究分析其出现的法律适用问题、事实认定</w:t>
      </w:r>
      <w:r w:rsidR="00CC0DA1">
        <w:rPr>
          <w:rFonts w:ascii="仿宋" w:eastAsia="仿宋" w:hAnsi="仿宋" w:hint="eastAsia"/>
          <w:sz w:val="32"/>
          <w:szCs w:val="32"/>
        </w:rPr>
        <w:t>问题、程序性问题以及其他问题，以案件质量评查倒逼审判能力的提升；五是要规范庭审程序，</w:t>
      </w:r>
      <w:r w:rsidR="00D25E2F">
        <w:rPr>
          <w:rFonts w:ascii="仿宋" w:eastAsia="仿宋" w:hAnsi="仿宋" w:hint="eastAsia"/>
          <w:sz w:val="32"/>
          <w:szCs w:val="32"/>
        </w:rPr>
        <w:t>各院应努力避免“重实体、轻程序”，一件</w:t>
      </w:r>
      <w:r w:rsidR="00D25E2F">
        <w:rPr>
          <w:rFonts w:ascii="仿宋" w:eastAsia="仿宋" w:hAnsi="仿宋" w:hint="eastAsia"/>
          <w:sz w:val="32"/>
          <w:szCs w:val="32"/>
        </w:rPr>
        <w:lastRenderedPageBreak/>
        <w:t>程序上有瑕疵的案件，即使裁判结论充分正确，也难以使当事人信服，可以说一些案件息诉服判效果不好，一定程度上是由</w:t>
      </w:r>
      <w:r w:rsidR="000F558A">
        <w:rPr>
          <w:rFonts w:ascii="仿宋" w:eastAsia="仿宋" w:hAnsi="仿宋" w:hint="eastAsia"/>
          <w:sz w:val="32"/>
          <w:szCs w:val="32"/>
        </w:rPr>
        <w:t>于</w:t>
      </w:r>
      <w:r w:rsidR="00D25E2F">
        <w:rPr>
          <w:rFonts w:ascii="仿宋" w:eastAsia="仿宋" w:hAnsi="仿宋" w:hint="eastAsia"/>
          <w:sz w:val="32"/>
          <w:szCs w:val="32"/>
        </w:rPr>
        <w:t>程序不规范导致的。</w:t>
      </w:r>
    </w:p>
    <w:p w:rsidR="004961BE" w:rsidRDefault="004961BE" w:rsidP="004961BE">
      <w:pPr>
        <w:ind w:firstLine="645"/>
        <w:rPr>
          <w:rFonts w:ascii="仿宋" w:eastAsia="仿宋" w:hAnsi="仿宋"/>
          <w:b/>
          <w:sz w:val="32"/>
          <w:szCs w:val="32"/>
        </w:rPr>
      </w:pPr>
      <w:r w:rsidRPr="006931F4">
        <w:rPr>
          <w:rFonts w:ascii="仿宋" w:eastAsia="仿宋" w:hAnsi="仿宋" w:hint="eastAsia"/>
          <w:b/>
          <w:sz w:val="32"/>
          <w:szCs w:val="32"/>
        </w:rPr>
        <w:t>（</w:t>
      </w:r>
      <w:r>
        <w:rPr>
          <w:rFonts w:ascii="仿宋" w:eastAsia="仿宋" w:hAnsi="仿宋" w:hint="eastAsia"/>
          <w:b/>
          <w:sz w:val="32"/>
          <w:szCs w:val="32"/>
        </w:rPr>
        <w:t>三</w:t>
      </w:r>
      <w:r w:rsidRPr="006931F4">
        <w:rPr>
          <w:rFonts w:ascii="仿宋" w:eastAsia="仿宋" w:hAnsi="仿宋" w:hint="eastAsia"/>
          <w:b/>
          <w:sz w:val="32"/>
          <w:szCs w:val="32"/>
        </w:rPr>
        <w:t>）</w:t>
      </w:r>
      <w:r>
        <w:rPr>
          <w:rFonts w:ascii="仿宋" w:eastAsia="仿宋" w:hAnsi="仿宋" w:hint="eastAsia"/>
          <w:b/>
          <w:sz w:val="32"/>
          <w:szCs w:val="32"/>
        </w:rPr>
        <w:t>全面提高裁判文书质量</w:t>
      </w:r>
    </w:p>
    <w:p w:rsidR="004961BE" w:rsidRPr="004961BE" w:rsidRDefault="004961BE" w:rsidP="004961BE">
      <w:pPr>
        <w:ind w:firstLine="645"/>
        <w:rPr>
          <w:rFonts w:ascii="仿宋" w:eastAsia="仿宋" w:hAnsi="仿宋"/>
          <w:sz w:val="32"/>
          <w:szCs w:val="32"/>
        </w:rPr>
      </w:pPr>
      <w:r w:rsidRPr="00CC0DA1">
        <w:rPr>
          <w:rFonts w:ascii="仿宋" w:eastAsia="仿宋" w:hAnsi="仿宋" w:hint="eastAsia"/>
          <w:sz w:val="32"/>
          <w:szCs w:val="32"/>
        </w:rPr>
        <w:t>裁判文书公开是司法公开的重要内容之一，它承载着法官的审判质量、水平与能力，关乎着法院的司法权威和司法公信力，日前，最高人民法院发布了</w:t>
      </w:r>
      <w:r>
        <w:rPr>
          <w:rFonts w:ascii="仿宋" w:eastAsia="仿宋" w:hAnsi="仿宋" w:hint="eastAsia"/>
          <w:sz w:val="32"/>
          <w:szCs w:val="32"/>
        </w:rPr>
        <w:t>《最高人民法院办公厅关于全面提升裁判文书质量切实防止低级错误反复发生的紧急通知》及《最高人民法院关于加强和规范裁判文书释法说理的指导意见》，对全国因裁判文书发生低级错误而引发负面舆情的法院进行了通报，对进一步提升裁判文书质量提出了指导意见，各院应对裁判文书的质量给予高度重视，坚决杜绝低级错误的发生，提高裁判文书释法说理的水平</w:t>
      </w:r>
      <w:r w:rsidR="00FC2782">
        <w:rPr>
          <w:rFonts w:ascii="仿宋" w:eastAsia="仿宋" w:hAnsi="仿宋" w:hint="eastAsia"/>
          <w:sz w:val="32"/>
          <w:szCs w:val="32"/>
        </w:rPr>
        <w:t>；各员额法官应加强学习，提升裁判文书的写作能力；</w:t>
      </w:r>
      <w:r>
        <w:rPr>
          <w:rFonts w:ascii="仿宋" w:eastAsia="仿宋" w:hAnsi="仿宋" w:hint="eastAsia"/>
          <w:sz w:val="32"/>
          <w:szCs w:val="32"/>
        </w:rPr>
        <w:t>负责审核、签发裁判文书的相关领导也要切实履行好自己的职责，保证裁判文书的合法性、合理性、规范性、逻辑性，提高裁判的可接受性，从而实现法律效果和社会效果的有机统一。</w:t>
      </w:r>
    </w:p>
    <w:p w:rsidR="00123E46" w:rsidRDefault="00363513">
      <w:pPr>
        <w:ind w:firstLine="645"/>
        <w:rPr>
          <w:rFonts w:ascii="仿宋" w:eastAsia="仿宋" w:hAnsi="仿宋"/>
          <w:b/>
          <w:sz w:val="32"/>
          <w:szCs w:val="32"/>
        </w:rPr>
      </w:pPr>
      <w:r>
        <w:rPr>
          <w:rFonts w:ascii="仿宋" w:eastAsia="仿宋" w:hAnsi="仿宋" w:hint="eastAsia"/>
          <w:b/>
          <w:sz w:val="32"/>
          <w:szCs w:val="32"/>
        </w:rPr>
        <w:t>（</w:t>
      </w:r>
      <w:r w:rsidR="004961BE">
        <w:rPr>
          <w:rFonts w:ascii="仿宋" w:eastAsia="仿宋" w:hAnsi="仿宋" w:hint="eastAsia"/>
          <w:b/>
          <w:sz w:val="32"/>
          <w:szCs w:val="32"/>
        </w:rPr>
        <w:t>四</w:t>
      </w:r>
      <w:r>
        <w:rPr>
          <w:rFonts w:ascii="仿宋" w:eastAsia="仿宋" w:hAnsi="仿宋" w:hint="eastAsia"/>
          <w:b/>
          <w:sz w:val="32"/>
          <w:szCs w:val="32"/>
        </w:rPr>
        <w:t>）全面强化审判管理</w:t>
      </w:r>
    </w:p>
    <w:p w:rsidR="00123E46" w:rsidRDefault="00363513">
      <w:pPr>
        <w:ind w:firstLine="645"/>
        <w:rPr>
          <w:rFonts w:ascii="仿宋" w:eastAsia="仿宋" w:hAnsi="仿宋"/>
          <w:sz w:val="32"/>
          <w:szCs w:val="32"/>
        </w:rPr>
      </w:pPr>
      <w:r>
        <w:rPr>
          <w:rFonts w:ascii="仿宋" w:eastAsia="仿宋" w:hAnsi="仿宋" w:hint="eastAsia"/>
          <w:sz w:val="32"/>
          <w:szCs w:val="32"/>
        </w:rPr>
        <w:t>审判管理工作对于辅助审判、提升审判质效起着关键性的作用。中院每月继续对各基层院的各项重要数据进行通报。各院、各审判业务部门也应加强对本院以及上级法院审判运行态势分析的研究，实时关注案件的流程节点，准确掌握本</w:t>
      </w:r>
      <w:r>
        <w:rPr>
          <w:rFonts w:ascii="仿宋" w:eastAsia="仿宋" w:hAnsi="仿宋" w:hint="eastAsia"/>
          <w:sz w:val="32"/>
          <w:szCs w:val="32"/>
        </w:rPr>
        <w:lastRenderedPageBreak/>
        <w:t>院、本部门各项工作的相关数据情况，保持与上级院的顺畅沟通，使上级院及时了解各院的特殊情况。同时，各院应通过审判运行态势分析报告及时发现问题并进行有效调度，有针对性的解决问题。</w:t>
      </w:r>
    </w:p>
    <w:p w:rsidR="008D6CB3" w:rsidRDefault="008D6CB3" w:rsidP="008D6CB3">
      <w:pPr>
        <w:ind w:firstLine="645"/>
        <w:rPr>
          <w:rFonts w:ascii="仿宋" w:eastAsia="仿宋" w:hAnsi="仿宋"/>
          <w:b/>
          <w:sz w:val="32"/>
          <w:szCs w:val="32"/>
        </w:rPr>
      </w:pPr>
      <w:r>
        <w:rPr>
          <w:rFonts w:ascii="仿宋" w:eastAsia="仿宋" w:hAnsi="仿宋" w:hint="eastAsia"/>
          <w:b/>
          <w:sz w:val="32"/>
          <w:szCs w:val="32"/>
        </w:rPr>
        <w:t>（五）全面利用信息化技术</w:t>
      </w:r>
    </w:p>
    <w:p w:rsidR="008D6CB3" w:rsidRPr="008D6CB3" w:rsidRDefault="008D6CB3" w:rsidP="008D6CB3">
      <w:pPr>
        <w:ind w:firstLine="645"/>
        <w:rPr>
          <w:rFonts w:ascii="仿宋" w:eastAsia="仿宋" w:hAnsi="仿宋"/>
          <w:sz w:val="32"/>
          <w:szCs w:val="32"/>
        </w:rPr>
      </w:pPr>
      <w:r>
        <w:rPr>
          <w:rFonts w:ascii="仿宋" w:eastAsia="仿宋" w:hAnsi="仿宋" w:hint="eastAsia"/>
          <w:sz w:val="32"/>
          <w:szCs w:val="32"/>
        </w:rPr>
        <w:t>电子诉讼全业务网上办理、审判流程信息公开、裁判文书公开、执行信息公开、司法统计数据，当前，法院的每一项工作都已离不开信息技术的支撑，各项办公软件不仅是我们重要的办公载体，更重要的是通过信息技术使司法权在阳光下运行，将审判活动置于社会公众的监督之下，加强了对审判权的制约，大大减少了暗箱操作的空间。</w:t>
      </w:r>
      <w:bookmarkStart w:id="0" w:name="_GoBack"/>
      <w:bookmarkEnd w:id="0"/>
      <w:r>
        <w:rPr>
          <w:rFonts w:ascii="仿宋" w:eastAsia="仿宋" w:hAnsi="仿宋" w:hint="eastAsia"/>
          <w:sz w:val="32"/>
          <w:szCs w:val="32"/>
        </w:rPr>
        <w:t>各院应继续加强信息化技术的应用，强化在线管理，确保每个环节、每个流程节点都网上留痕，杜绝案件体外循环现象，确保录入信息的全面性、及时性、准确性，为上级法院提供扎实的数据质量。2018年上半年有一件案件由于信息录入问题导致系统重复计算为两个案件，各院应在以后的工作中加以注意，避免出现此类错误。</w:t>
      </w:r>
      <w:r w:rsidR="009D3C19">
        <w:rPr>
          <w:rFonts w:ascii="仿宋" w:eastAsia="仿宋" w:hAnsi="仿宋" w:hint="eastAsia"/>
          <w:sz w:val="32"/>
          <w:szCs w:val="32"/>
        </w:rPr>
        <w:t>（2018年电子法院应用情况详见附件）</w:t>
      </w:r>
    </w:p>
    <w:p w:rsidR="008A3AC2" w:rsidRDefault="008A3AC2">
      <w:pPr>
        <w:ind w:firstLine="645"/>
        <w:rPr>
          <w:rFonts w:ascii="仿宋" w:eastAsia="仿宋" w:hAnsi="仿宋"/>
          <w:b/>
          <w:sz w:val="32"/>
          <w:szCs w:val="32"/>
        </w:rPr>
      </w:pPr>
      <w:r w:rsidRPr="008A3AC2">
        <w:rPr>
          <w:rFonts w:ascii="仿宋" w:eastAsia="仿宋" w:hAnsi="仿宋" w:hint="eastAsia"/>
          <w:b/>
          <w:sz w:val="32"/>
          <w:szCs w:val="32"/>
        </w:rPr>
        <w:t>（</w:t>
      </w:r>
      <w:r w:rsidR="008D6CB3">
        <w:rPr>
          <w:rFonts w:ascii="仿宋" w:eastAsia="仿宋" w:hAnsi="仿宋" w:hint="eastAsia"/>
          <w:b/>
          <w:sz w:val="32"/>
          <w:szCs w:val="32"/>
        </w:rPr>
        <w:t>六</w:t>
      </w:r>
      <w:r w:rsidRPr="008A3AC2">
        <w:rPr>
          <w:rFonts w:ascii="仿宋" w:eastAsia="仿宋" w:hAnsi="仿宋" w:hint="eastAsia"/>
          <w:b/>
          <w:sz w:val="32"/>
          <w:szCs w:val="32"/>
        </w:rPr>
        <w:t>）全面落实司法责任制</w:t>
      </w:r>
    </w:p>
    <w:p w:rsidR="008A3AC2" w:rsidRPr="008A3AC2" w:rsidRDefault="00EA4447">
      <w:pPr>
        <w:ind w:firstLine="645"/>
        <w:rPr>
          <w:rFonts w:ascii="仿宋" w:eastAsia="仿宋" w:hAnsi="仿宋"/>
          <w:sz w:val="32"/>
          <w:szCs w:val="32"/>
        </w:rPr>
      </w:pPr>
      <w:r>
        <w:rPr>
          <w:rFonts w:ascii="仿宋" w:eastAsia="仿宋" w:hAnsi="仿宋" w:hint="eastAsia"/>
          <w:sz w:val="32"/>
          <w:szCs w:val="32"/>
        </w:rPr>
        <w:t>随着司法责任制</w:t>
      </w:r>
      <w:r w:rsidR="005C62D4">
        <w:rPr>
          <w:rFonts w:ascii="仿宋" w:eastAsia="仿宋" w:hAnsi="仿宋" w:hint="eastAsia"/>
          <w:sz w:val="32"/>
          <w:szCs w:val="32"/>
        </w:rPr>
        <w:t>改革</w:t>
      </w:r>
      <w:r>
        <w:rPr>
          <w:rFonts w:ascii="仿宋" w:eastAsia="仿宋" w:hAnsi="仿宋" w:hint="eastAsia"/>
          <w:sz w:val="32"/>
          <w:szCs w:val="32"/>
        </w:rPr>
        <w:t>的全面推开，长春林区两级法院的各项司改工作也逐步</w:t>
      </w:r>
      <w:r w:rsidR="005C62D4">
        <w:rPr>
          <w:rFonts w:ascii="仿宋" w:eastAsia="仿宋" w:hAnsi="仿宋" w:hint="eastAsia"/>
          <w:sz w:val="32"/>
          <w:szCs w:val="32"/>
        </w:rPr>
        <w:t>得到</w:t>
      </w:r>
      <w:r>
        <w:rPr>
          <w:rFonts w:ascii="仿宋" w:eastAsia="仿宋" w:hAnsi="仿宋" w:hint="eastAsia"/>
          <w:sz w:val="32"/>
          <w:szCs w:val="32"/>
        </w:rPr>
        <w:t>落实，下一步各院</w:t>
      </w:r>
      <w:r w:rsidR="005C62D4">
        <w:rPr>
          <w:rFonts w:ascii="仿宋" w:eastAsia="仿宋" w:hAnsi="仿宋" w:hint="eastAsia"/>
          <w:sz w:val="32"/>
          <w:szCs w:val="32"/>
        </w:rPr>
        <w:t>应认真对照关于全面落实司法责任制改革的</w:t>
      </w:r>
      <w:r w:rsidR="00CE3D59">
        <w:rPr>
          <w:rFonts w:ascii="仿宋" w:eastAsia="仿宋" w:hAnsi="仿宋" w:hint="eastAsia"/>
          <w:sz w:val="32"/>
          <w:szCs w:val="32"/>
        </w:rPr>
        <w:t>各项</w:t>
      </w:r>
      <w:r w:rsidR="005C62D4">
        <w:rPr>
          <w:rFonts w:ascii="仿宋" w:eastAsia="仿宋" w:hAnsi="仿宋" w:hint="eastAsia"/>
          <w:sz w:val="32"/>
          <w:szCs w:val="32"/>
        </w:rPr>
        <w:t>要求，继续</w:t>
      </w:r>
      <w:r w:rsidR="00CE3D59">
        <w:rPr>
          <w:rFonts w:ascii="仿宋" w:eastAsia="仿宋" w:hAnsi="仿宋" w:hint="eastAsia"/>
          <w:sz w:val="32"/>
          <w:szCs w:val="32"/>
        </w:rPr>
        <w:t>加强对</w:t>
      </w:r>
      <w:r w:rsidR="005C62D4">
        <w:rPr>
          <w:rFonts w:ascii="仿宋" w:eastAsia="仿宋" w:hAnsi="仿宋" w:hint="eastAsia"/>
          <w:sz w:val="32"/>
          <w:szCs w:val="32"/>
        </w:rPr>
        <w:t>入额院领导</w:t>
      </w:r>
      <w:r w:rsidR="00CE3D59">
        <w:rPr>
          <w:rFonts w:ascii="仿宋" w:eastAsia="仿宋" w:hAnsi="仿宋" w:hint="eastAsia"/>
          <w:sz w:val="32"/>
          <w:szCs w:val="32"/>
        </w:rPr>
        <w:t>办案工作的督导、合理定位审委会职能、完善专业法官会</w:t>
      </w:r>
      <w:r w:rsidR="00CE3D59">
        <w:rPr>
          <w:rFonts w:ascii="仿宋" w:eastAsia="仿宋" w:hAnsi="仿宋" w:hint="eastAsia"/>
          <w:sz w:val="32"/>
          <w:szCs w:val="32"/>
        </w:rPr>
        <w:lastRenderedPageBreak/>
        <w:t>议制度，</w:t>
      </w:r>
      <w:r w:rsidR="005475B4">
        <w:rPr>
          <w:rFonts w:ascii="仿宋" w:eastAsia="仿宋" w:hAnsi="仿宋" w:hint="eastAsia"/>
          <w:sz w:val="32"/>
          <w:szCs w:val="32"/>
        </w:rPr>
        <w:t>规范审判权运行，真正实现“让审理者裁判，由裁判者负责”。各院应真正领会司法责任制改革的目的，不能机械的生搬硬套，不能只搞形式主义，</w:t>
      </w:r>
      <w:r w:rsidR="00C527D8">
        <w:rPr>
          <w:rFonts w:ascii="仿宋" w:eastAsia="仿宋" w:hAnsi="仿宋" w:hint="eastAsia"/>
          <w:sz w:val="32"/>
          <w:szCs w:val="32"/>
        </w:rPr>
        <w:t>要把改革措施落到实处，</w:t>
      </w:r>
      <w:r w:rsidR="005475B4">
        <w:rPr>
          <w:rFonts w:ascii="仿宋" w:eastAsia="仿宋" w:hAnsi="仿宋" w:hint="eastAsia"/>
          <w:sz w:val="32"/>
          <w:szCs w:val="32"/>
        </w:rPr>
        <w:t>深化司法体制改革，关键在于落实司法责任，提升案件质效，</w:t>
      </w:r>
      <w:r w:rsidR="008E4F7A">
        <w:rPr>
          <w:rFonts w:ascii="仿宋" w:eastAsia="仿宋" w:hAnsi="仿宋" w:hint="eastAsia"/>
          <w:sz w:val="32"/>
          <w:szCs w:val="32"/>
        </w:rPr>
        <w:t>促进司法更加公正、高效、权威、更具公信力。</w:t>
      </w:r>
    </w:p>
    <w:p w:rsidR="00123E46" w:rsidRDefault="00123E46">
      <w:pPr>
        <w:ind w:firstLineChars="200" w:firstLine="640"/>
        <w:rPr>
          <w:rFonts w:ascii="仿宋" w:eastAsia="仿宋" w:hAnsi="仿宋"/>
          <w:sz w:val="32"/>
          <w:szCs w:val="32"/>
        </w:rPr>
      </w:pPr>
    </w:p>
    <w:p w:rsidR="00123E46" w:rsidRDefault="00123E46">
      <w:pPr>
        <w:ind w:firstLineChars="200" w:firstLine="640"/>
        <w:rPr>
          <w:rFonts w:ascii="仿宋" w:eastAsia="仿宋" w:hAnsi="仿宋"/>
          <w:sz w:val="32"/>
          <w:szCs w:val="32"/>
        </w:rPr>
      </w:pPr>
    </w:p>
    <w:p w:rsidR="00123E46" w:rsidRDefault="00363513">
      <w:pPr>
        <w:ind w:firstLineChars="900" w:firstLine="2880"/>
        <w:rPr>
          <w:rFonts w:ascii="仿宋" w:eastAsia="仿宋" w:hAnsi="仿宋"/>
          <w:sz w:val="32"/>
          <w:szCs w:val="32"/>
        </w:rPr>
      </w:pPr>
      <w:r>
        <w:rPr>
          <w:rFonts w:ascii="仿宋" w:eastAsia="仿宋" w:hAnsi="仿宋" w:hint="eastAsia"/>
          <w:sz w:val="32"/>
          <w:szCs w:val="32"/>
        </w:rPr>
        <w:t>长春林区中级法院审判管理办公室</w:t>
      </w:r>
    </w:p>
    <w:p w:rsidR="00123E46" w:rsidRDefault="00363513">
      <w:pPr>
        <w:ind w:firstLineChars="200" w:firstLine="640"/>
        <w:rPr>
          <w:rFonts w:ascii="仿宋" w:eastAsia="仿宋" w:hAnsi="仿宋"/>
          <w:sz w:val="32"/>
          <w:szCs w:val="32"/>
        </w:rPr>
      </w:pPr>
      <w:r>
        <w:rPr>
          <w:rFonts w:ascii="仿宋" w:eastAsia="仿宋" w:hAnsi="仿宋" w:hint="eastAsia"/>
          <w:sz w:val="32"/>
          <w:szCs w:val="32"/>
        </w:rPr>
        <w:t xml:space="preserve">                    二○一八年</w:t>
      </w:r>
      <w:r w:rsidR="00696BC6">
        <w:rPr>
          <w:rFonts w:ascii="仿宋" w:eastAsia="仿宋" w:hAnsi="仿宋" w:hint="eastAsia"/>
          <w:sz w:val="32"/>
          <w:szCs w:val="32"/>
        </w:rPr>
        <w:t>六</w:t>
      </w:r>
      <w:r>
        <w:rPr>
          <w:rFonts w:ascii="仿宋" w:eastAsia="仿宋" w:hAnsi="仿宋" w:hint="eastAsia"/>
          <w:sz w:val="32"/>
          <w:szCs w:val="32"/>
        </w:rPr>
        <w:t>月</w:t>
      </w:r>
      <w:r w:rsidR="00696BC6">
        <w:rPr>
          <w:rFonts w:ascii="仿宋" w:eastAsia="仿宋" w:hAnsi="仿宋" w:hint="eastAsia"/>
          <w:sz w:val="32"/>
          <w:szCs w:val="32"/>
        </w:rPr>
        <w:t>三十</w:t>
      </w:r>
      <w:r>
        <w:rPr>
          <w:rFonts w:ascii="仿宋" w:eastAsia="仿宋" w:hAnsi="仿宋" w:hint="eastAsia"/>
          <w:sz w:val="32"/>
          <w:szCs w:val="32"/>
        </w:rPr>
        <w:t>日</w:t>
      </w:r>
    </w:p>
    <w:p w:rsidR="00123E46" w:rsidRDefault="00123E46">
      <w:pPr>
        <w:ind w:firstLineChars="200" w:firstLine="640"/>
        <w:rPr>
          <w:rFonts w:ascii="仿宋" w:eastAsia="仿宋" w:hAnsi="仿宋"/>
          <w:sz w:val="32"/>
          <w:szCs w:val="32"/>
        </w:rPr>
      </w:pPr>
    </w:p>
    <w:p w:rsidR="00E04E02" w:rsidRDefault="00363513">
      <w:pPr>
        <w:widowControl/>
        <w:jc w:val="left"/>
        <w:rPr>
          <w:rFonts w:ascii="仿宋" w:eastAsia="仿宋" w:hAnsi="仿宋"/>
          <w:sz w:val="32"/>
          <w:szCs w:val="32"/>
        </w:rPr>
        <w:sectPr w:rsidR="00E04E02" w:rsidSect="005E5F9E">
          <w:footerReference w:type="first" r:id="rId37"/>
          <w:pgSz w:w="11906" w:h="16838"/>
          <w:pgMar w:top="1440" w:right="1800" w:bottom="1440" w:left="1800" w:header="851" w:footer="992" w:gutter="0"/>
          <w:pgNumType w:start="1"/>
          <w:cols w:space="425"/>
          <w:titlePg/>
          <w:docGrid w:type="lines" w:linePitch="312"/>
        </w:sectPr>
      </w:pPr>
      <w:r>
        <w:rPr>
          <w:rFonts w:ascii="仿宋" w:eastAsia="仿宋" w:hAnsi="仿宋"/>
          <w:sz w:val="32"/>
          <w:szCs w:val="32"/>
        </w:rPr>
        <w:br w:type="page"/>
      </w:r>
    </w:p>
    <w:p w:rsidR="00123E46" w:rsidRDefault="00123E46">
      <w:pPr>
        <w:widowControl/>
        <w:jc w:val="left"/>
        <w:rPr>
          <w:rFonts w:ascii="仿宋" w:eastAsia="仿宋" w:hAnsi="仿宋"/>
          <w:sz w:val="32"/>
          <w:szCs w:val="32"/>
        </w:rPr>
      </w:pPr>
    </w:p>
    <w:p w:rsidR="00123E46" w:rsidRDefault="00363513">
      <w:pPr>
        <w:spacing w:line="560" w:lineRule="exact"/>
        <w:jc w:val="left"/>
        <w:rPr>
          <w:rFonts w:ascii="仿宋" w:eastAsia="仿宋" w:hAnsi="仿宋"/>
          <w:b/>
          <w:sz w:val="28"/>
          <w:szCs w:val="28"/>
        </w:rPr>
      </w:pPr>
      <w:r>
        <w:rPr>
          <w:rFonts w:ascii="仿宋" w:eastAsia="仿宋" w:hAnsi="仿宋" w:hint="eastAsia"/>
          <w:b/>
          <w:sz w:val="28"/>
          <w:szCs w:val="28"/>
        </w:rPr>
        <w:t>附件：</w:t>
      </w:r>
    </w:p>
    <w:p w:rsidR="00123E46" w:rsidRDefault="00363513">
      <w:pPr>
        <w:spacing w:line="560" w:lineRule="exact"/>
        <w:ind w:firstLineChars="200" w:firstLine="562"/>
        <w:jc w:val="center"/>
        <w:rPr>
          <w:rFonts w:ascii="仿宋" w:eastAsia="仿宋" w:hAnsi="仿宋"/>
          <w:b/>
          <w:sz w:val="28"/>
          <w:szCs w:val="28"/>
        </w:rPr>
      </w:pPr>
      <w:r>
        <w:rPr>
          <w:rFonts w:ascii="仿宋" w:eastAsia="仿宋" w:hAnsi="仿宋" w:hint="eastAsia"/>
          <w:b/>
          <w:sz w:val="28"/>
          <w:szCs w:val="28"/>
        </w:rPr>
        <w:t xml:space="preserve">  审查监督案件具体情况</w:t>
      </w:r>
    </w:p>
    <w:tbl>
      <w:tblPr>
        <w:tblW w:w="8931" w:type="dxa"/>
        <w:tblInd w:w="-176" w:type="dxa"/>
        <w:tblLayout w:type="fixed"/>
        <w:tblLook w:val="04A0"/>
      </w:tblPr>
      <w:tblGrid>
        <w:gridCol w:w="427"/>
        <w:gridCol w:w="1275"/>
        <w:gridCol w:w="2124"/>
        <w:gridCol w:w="1084"/>
        <w:gridCol w:w="1186"/>
        <w:gridCol w:w="709"/>
        <w:gridCol w:w="1134"/>
        <w:gridCol w:w="992"/>
      </w:tblGrid>
      <w:tr w:rsidR="00123E46">
        <w:trPr>
          <w:trHeight w:val="323"/>
        </w:trPr>
        <w:tc>
          <w:tcPr>
            <w:tcW w:w="427" w:type="dxa"/>
            <w:tcBorders>
              <w:top w:val="single" w:sz="4" w:space="0" w:color="auto"/>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Cs w:val="21"/>
              </w:rPr>
            </w:pPr>
            <w:r>
              <w:rPr>
                <w:rFonts w:asciiTheme="minorEastAsia" w:hAnsiTheme="minorEastAsia" w:cs="Arial" w:hint="eastAsia"/>
                <w:b/>
                <w:bCs/>
                <w:color w:val="000000"/>
                <w:kern w:val="0"/>
                <w:szCs w:val="21"/>
              </w:rPr>
              <w:t>序号</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Cs w:val="21"/>
              </w:rPr>
            </w:pPr>
            <w:r>
              <w:rPr>
                <w:rFonts w:asciiTheme="minorEastAsia" w:hAnsiTheme="minorEastAsia" w:cs="Arial"/>
                <w:b/>
                <w:bCs/>
                <w:color w:val="000000"/>
                <w:kern w:val="0"/>
                <w:szCs w:val="21"/>
              </w:rPr>
              <w:t>案号</w:t>
            </w:r>
          </w:p>
        </w:tc>
        <w:tc>
          <w:tcPr>
            <w:tcW w:w="2124"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Cs w:val="21"/>
              </w:rPr>
            </w:pPr>
            <w:r>
              <w:rPr>
                <w:rFonts w:asciiTheme="minorEastAsia" w:hAnsiTheme="minorEastAsia" w:cs="Arial"/>
                <w:b/>
                <w:bCs/>
                <w:color w:val="000000"/>
                <w:kern w:val="0"/>
                <w:szCs w:val="21"/>
              </w:rPr>
              <w:t>案件名称</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Cs w:val="21"/>
              </w:rPr>
            </w:pPr>
            <w:r>
              <w:rPr>
                <w:rFonts w:asciiTheme="minorEastAsia" w:hAnsiTheme="minorEastAsia" w:cs="Arial"/>
                <w:b/>
                <w:bCs/>
                <w:color w:val="000000"/>
                <w:kern w:val="0"/>
                <w:szCs w:val="21"/>
              </w:rPr>
              <w:t>原审法院</w:t>
            </w:r>
          </w:p>
        </w:tc>
        <w:tc>
          <w:tcPr>
            <w:tcW w:w="1186"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Cs w:val="21"/>
              </w:rPr>
            </w:pPr>
            <w:r>
              <w:rPr>
                <w:rFonts w:asciiTheme="minorEastAsia" w:hAnsiTheme="minorEastAsia" w:cs="Arial"/>
                <w:b/>
                <w:bCs/>
                <w:color w:val="000000"/>
                <w:kern w:val="0"/>
                <w:szCs w:val="21"/>
              </w:rPr>
              <w:t>立案日期</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Cs w:val="21"/>
              </w:rPr>
            </w:pPr>
            <w:r>
              <w:rPr>
                <w:rFonts w:asciiTheme="minorEastAsia" w:hAnsiTheme="minorEastAsia" w:cs="Arial"/>
                <w:b/>
                <w:bCs/>
                <w:color w:val="000000"/>
                <w:kern w:val="0"/>
                <w:szCs w:val="21"/>
              </w:rPr>
              <w:t>承办人</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Cs w:val="21"/>
              </w:rPr>
            </w:pPr>
            <w:r>
              <w:rPr>
                <w:rFonts w:asciiTheme="minorEastAsia" w:hAnsiTheme="minorEastAsia" w:cs="Arial" w:hint="eastAsia"/>
                <w:b/>
                <w:bCs/>
                <w:color w:val="000000"/>
                <w:kern w:val="0"/>
                <w:szCs w:val="21"/>
              </w:rPr>
              <w:t>结案日期</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Cs w:val="21"/>
              </w:rPr>
            </w:pPr>
            <w:r>
              <w:rPr>
                <w:rFonts w:asciiTheme="minorEastAsia" w:hAnsiTheme="minorEastAsia" w:cs="Arial" w:hint="eastAsia"/>
                <w:b/>
                <w:bCs/>
                <w:color w:val="000000"/>
                <w:kern w:val="0"/>
                <w:szCs w:val="21"/>
              </w:rPr>
              <w:t>结案方式</w:t>
            </w:r>
          </w:p>
        </w:tc>
      </w:tr>
      <w:tr w:rsidR="00123E46">
        <w:trPr>
          <w:trHeight w:val="785"/>
        </w:trPr>
        <w:tc>
          <w:tcPr>
            <w:tcW w:w="427"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1</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（2017）吉7603民申2号</w:t>
            </w:r>
          </w:p>
        </w:tc>
        <w:tc>
          <w:tcPr>
            <w:tcW w:w="2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民事侯卫东申请合同、无因管理、不当得利纠纷再审审查一案</w:t>
            </w:r>
          </w:p>
        </w:tc>
        <w:tc>
          <w:tcPr>
            <w:tcW w:w="108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红石林区基层法院</w:t>
            </w:r>
          </w:p>
        </w:tc>
        <w:tc>
          <w:tcPr>
            <w:tcW w:w="118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2017-08-30</w:t>
            </w:r>
          </w:p>
        </w:tc>
        <w:tc>
          <w:tcPr>
            <w:tcW w:w="7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张丽杰</w:t>
            </w:r>
          </w:p>
        </w:tc>
        <w:tc>
          <w:tcPr>
            <w:tcW w:w="1134"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r>
      <w:tr w:rsidR="00123E46">
        <w:trPr>
          <w:trHeight w:val="785"/>
        </w:trPr>
        <w:tc>
          <w:tcPr>
            <w:tcW w:w="427"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2</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（2017）吉7603民申3号</w:t>
            </w:r>
          </w:p>
        </w:tc>
        <w:tc>
          <w:tcPr>
            <w:tcW w:w="2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民事胡本平申请合同、无因管理、不当得利纠纷再审审查一案</w:t>
            </w:r>
          </w:p>
        </w:tc>
        <w:tc>
          <w:tcPr>
            <w:tcW w:w="108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红石林区基层法院</w:t>
            </w:r>
          </w:p>
        </w:tc>
        <w:tc>
          <w:tcPr>
            <w:tcW w:w="118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2017-08-30</w:t>
            </w:r>
          </w:p>
        </w:tc>
        <w:tc>
          <w:tcPr>
            <w:tcW w:w="7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张丽杰</w:t>
            </w:r>
          </w:p>
        </w:tc>
        <w:tc>
          <w:tcPr>
            <w:tcW w:w="1134"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r>
      <w:tr w:rsidR="00123E46">
        <w:trPr>
          <w:trHeight w:val="785"/>
        </w:trPr>
        <w:tc>
          <w:tcPr>
            <w:tcW w:w="427"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3</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（2017）吉7603民申4号</w:t>
            </w:r>
          </w:p>
        </w:tc>
        <w:tc>
          <w:tcPr>
            <w:tcW w:w="2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民事张振国申请合同、无因管理、不当得利纠纷再审审查一案</w:t>
            </w:r>
          </w:p>
        </w:tc>
        <w:tc>
          <w:tcPr>
            <w:tcW w:w="108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红石林区基层法院</w:t>
            </w:r>
          </w:p>
        </w:tc>
        <w:tc>
          <w:tcPr>
            <w:tcW w:w="118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2017-08-30</w:t>
            </w:r>
          </w:p>
        </w:tc>
        <w:tc>
          <w:tcPr>
            <w:tcW w:w="7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张丽杰</w:t>
            </w:r>
          </w:p>
        </w:tc>
        <w:tc>
          <w:tcPr>
            <w:tcW w:w="1134"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r>
      <w:tr w:rsidR="00123E46">
        <w:trPr>
          <w:trHeight w:val="785"/>
        </w:trPr>
        <w:tc>
          <w:tcPr>
            <w:tcW w:w="427"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4</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（2017）吉7603民申5号</w:t>
            </w:r>
          </w:p>
        </w:tc>
        <w:tc>
          <w:tcPr>
            <w:tcW w:w="2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民事唐朝君申请合同、无因管理、不当得利纠纷再审审查一案</w:t>
            </w:r>
          </w:p>
        </w:tc>
        <w:tc>
          <w:tcPr>
            <w:tcW w:w="108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红石林区基层法院</w:t>
            </w:r>
          </w:p>
        </w:tc>
        <w:tc>
          <w:tcPr>
            <w:tcW w:w="118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2017-08-30</w:t>
            </w:r>
          </w:p>
        </w:tc>
        <w:tc>
          <w:tcPr>
            <w:tcW w:w="7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张丽杰</w:t>
            </w:r>
          </w:p>
        </w:tc>
        <w:tc>
          <w:tcPr>
            <w:tcW w:w="1134"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r>
      <w:tr w:rsidR="00123E46">
        <w:trPr>
          <w:trHeight w:val="785"/>
        </w:trPr>
        <w:tc>
          <w:tcPr>
            <w:tcW w:w="427"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5</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（2017）吉7603民申6号</w:t>
            </w:r>
          </w:p>
        </w:tc>
        <w:tc>
          <w:tcPr>
            <w:tcW w:w="2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民事潘立伟申请合同、无因管理、不当得利纠纷再审审查一案</w:t>
            </w:r>
          </w:p>
        </w:tc>
        <w:tc>
          <w:tcPr>
            <w:tcW w:w="108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红石林区基层法院</w:t>
            </w:r>
          </w:p>
        </w:tc>
        <w:tc>
          <w:tcPr>
            <w:tcW w:w="118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2017-08-30</w:t>
            </w:r>
          </w:p>
        </w:tc>
        <w:tc>
          <w:tcPr>
            <w:tcW w:w="7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张丽杰</w:t>
            </w:r>
          </w:p>
        </w:tc>
        <w:tc>
          <w:tcPr>
            <w:tcW w:w="1134"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r>
      <w:tr w:rsidR="00123E46">
        <w:trPr>
          <w:trHeight w:val="785"/>
        </w:trPr>
        <w:tc>
          <w:tcPr>
            <w:tcW w:w="427"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6</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（2017）吉7603民申7号</w:t>
            </w:r>
          </w:p>
        </w:tc>
        <w:tc>
          <w:tcPr>
            <w:tcW w:w="2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民事陈东胜申请合同、无因管理、不当得利纠纷再审审查一案</w:t>
            </w:r>
          </w:p>
        </w:tc>
        <w:tc>
          <w:tcPr>
            <w:tcW w:w="108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红石林区基层法院</w:t>
            </w:r>
          </w:p>
        </w:tc>
        <w:tc>
          <w:tcPr>
            <w:tcW w:w="118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2017-08-30</w:t>
            </w:r>
          </w:p>
        </w:tc>
        <w:tc>
          <w:tcPr>
            <w:tcW w:w="7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张殿杰</w:t>
            </w:r>
          </w:p>
        </w:tc>
        <w:tc>
          <w:tcPr>
            <w:tcW w:w="1134"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r>
      <w:tr w:rsidR="00123E46">
        <w:trPr>
          <w:trHeight w:val="785"/>
        </w:trPr>
        <w:tc>
          <w:tcPr>
            <w:tcW w:w="427"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7</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（2017）吉7603民申8号</w:t>
            </w:r>
          </w:p>
        </w:tc>
        <w:tc>
          <w:tcPr>
            <w:tcW w:w="2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民事赵春荣申请合同、无因管理、不当得利纠纷再审审查一案</w:t>
            </w:r>
          </w:p>
        </w:tc>
        <w:tc>
          <w:tcPr>
            <w:tcW w:w="108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红石林区基层法院</w:t>
            </w:r>
          </w:p>
        </w:tc>
        <w:tc>
          <w:tcPr>
            <w:tcW w:w="118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2017-08-30</w:t>
            </w:r>
          </w:p>
        </w:tc>
        <w:tc>
          <w:tcPr>
            <w:tcW w:w="7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张殿杰</w:t>
            </w:r>
          </w:p>
        </w:tc>
        <w:tc>
          <w:tcPr>
            <w:tcW w:w="1134"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r>
      <w:tr w:rsidR="00123E46">
        <w:trPr>
          <w:trHeight w:val="871"/>
        </w:trPr>
        <w:tc>
          <w:tcPr>
            <w:tcW w:w="427"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8</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（2017）吉76民监1号</w:t>
            </w:r>
          </w:p>
        </w:tc>
        <w:tc>
          <w:tcPr>
            <w:tcW w:w="2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民事申请合同、无因管理、不当得利纠纷再审审查一案</w:t>
            </w:r>
          </w:p>
        </w:tc>
        <w:tc>
          <w:tcPr>
            <w:tcW w:w="108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抚松林区基层法院</w:t>
            </w:r>
          </w:p>
        </w:tc>
        <w:tc>
          <w:tcPr>
            <w:tcW w:w="118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2017-09-18</w:t>
            </w:r>
          </w:p>
        </w:tc>
        <w:tc>
          <w:tcPr>
            <w:tcW w:w="7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邵汀</w:t>
            </w:r>
          </w:p>
        </w:tc>
        <w:tc>
          <w:tcPr>
            <w:tcW w:w="1134" w:type="dxa"/>
            <w:tcBorders>
              <w:top w:val="nil"/>
              <w:left w:val="nil"/>
              <w:bottom w:val="single" w:sz="4" w:space="0" w:color="auto"/>
              <w:right w:val="single" w:sz="4" w:space="0" w:color="auto"/>
            </w:tcBorders>
            <w:shd w:val="clear" w:color="000000" w:fill="FFFFFF"/>
            <w:vAlign w:val="center"/>
          </w:tcPr>
          <w:p w:rsidR="00123E46" w:rsidRDefault="00363513">
            <w:pPr>
              <w:jc w:val="center"/>
              <w:rPr>
                <w:rFonts w:asciiTheme="minorEastAsia" w:hAnsiTheme="minorEastAsia" w:cs="Arial"/>
                <w:color w:val="000000"/>
                <w:kern w:val="0"/>
                <w:sz w:val="18"/>
                <w:szCs w:val="18"/>
              </w:rPr>
            </w:pPr>
            <w:r>
              <w:rPr>
                <w:rFonts w:asciiTheme="minorEastAsia" w:hAnsiTheme="minorEastAsia" w:cs="Arial" w:hint="eastAsia"/>
                <w:color w:val="000000"/>
                <w:sz w:val="18"/>
                <w:szCs w:val="18"/>
              </w:rPr>
              <w:t>2018-1-15</w:t>
            </w:r>
          </w:p>
        </w:tc>
        <w:tc>
          <w:tcPr>
            <w:tcW w:w="992" w:type="dxa"/>
            <w:tcBorders>
              <w:top w:val="nil"/>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其他</w:t>
            </w:r>
          </w:p>
        </w:tc>
      </w:tr>
      <w:tr w:rsidR="00123E46">
        <w:trPr>
          <w:trHeight w:val="781"/>
        </w:trPr>
        <w:tc>
          <w:tcPr>
            <w:tcW w:w="427"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9</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（2017）吉76刑申3号</w:t>
            </w:r>
          </w:p>
        </w:tc>
        <w:tc>
          <w:tcPr>
            <w:tcW w:w="2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刑事赵龙华申请妨害社会管理秩序罪再审审查一案</w:t>
            </w:r>
          </w:p>
        </w:tc>
        <w:tc>
          <w:tcPr>
            <w:tcW w:w="108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长春林区中级法院</w:t>
            </w:r>
          </w:p>
        </w:tc>
        <w:tc>
          <w:tcPr>
            <w:tcW w:w="118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2017-11-01</w:t>
            </w:r>
          </w:p>
        </w:tc>
        <w:tc>
          <w:tcPr>
            <w:tcW w:w="7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孟东华</w:t>
            </w:r>
          </w:p>
        </w:tc>
        <w:tc>
          <w:tcPr>
            <w:tcW w:w="1134" w:type="dxa"/>
            <w:tcBorders>
              <w:top w:val="nil"/>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sz w:val="18"/>
                <w:szCs w:val="18"/>
              </w:rPr>
              <w:t>2018-1-15</w:t>
            </w:r>
          </w:p>
        </w:tc>
        <w:tc>
          <w:tcPr>
            <w:tcW w:w="992" w:type="dxa"/>
            <w:tcBorders>
              <w:top w:val="nil"/>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决定再审</w:t>
            </w:r>
          </w:p>
        </w:tc>
      </w:tr>
      <w:tr w:rsidR="00123E46">
        <w:trPr>
          <w:trHeight w:val="781"/>
        </w:trPr>
        <w:tc>
          <w:tcPr>
            <w:tcW w:w="427"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10</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（2018）吉76刑申1号</w:t>
            </w:r>
          </w:p>
        </w:tc>
        <w:tc>
          <w:tcPr>
            <w:tcW w:w="2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刑事申请侵犯公民人身权利、民主权利罪再审审查一案</w:t>
            </w:r>
          </w:p>
        </w:tc>
        <w:tc>
          <w:tcPr>
            <w:tcW w:w="108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长春林区中级法院</w:t>
            </w:r>
          </w:p>
        </w:tc>
        <w:tc>
          <w:tcPr>
            <w:tcW w:w="118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2018-05-14</w:t>
            </w:r>
          </w:p>
        </w:tc>
        <w:tc>
          <w:tcPr>
            <w:tcW w:w="7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陈凤影</w:t>
            </w:r>
          </w:p>
        </w:tc>
        <w:tc>
          <w:tcPr>
            <w:tcW w:w="1134"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r>
      <w:tr w:rsidR="00123E46">
        <w:trPr>
          <w:trHeight w:val="1116"/>
        </w:trPr>
        <w:tc>
          <w:tcPr>
            <w:tcW w:w="427"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11</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（2018）吉76刑申2号</w:t>
            </w:r>
          </w:p>
        </w:tc>
        <w:tc>
          <w:tcPr>
            <w:tcW w:w="2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刑事申请侵犯公民人身权利、民主权利罪再审审查一案</w:t>
            </w:r>
          </w:p>
        </w:tc>
        <w:tc>
          <w:tcPr>
            <w:tcW w:w="108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抚松林区基层法院</w:t>
            </w:r>
          </w:p>
        </w:tc>
        <w:tc>
          <w:tcPr>
            <w:tcW w:w="118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2018-05-21</w:t>
            </w:r>
          </w:p>
        </w:tc>
        <w:tc>
          <w:tcPr>
            <w:tcW w:w="7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陈凤影</w:t>
            </w:r>
          </w:p>
        </w:tc>
        <w:tc>
          <w:tcPr>
            <w:tcW w:w="1134"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123E46" w:rsidRDefault="00123E46">
            <w:pPr>
              <w:widowControl/>
              <w:jc w:val="center"/>
              <w:rPr>
                <w:rFonts w:asciiTheme="minorEastAsia" w:hAnsiTheme="minorEastAsia" w:cs="Arial"/>
                <w:color w:val="000000"/>
                <w:kern w:val="0"/>
                <w:sz w:val="18"/>
                <w:szCs w:val="18"/>
              </w:rPr>
            </w:pPr>
          </w:p>
        </w:tc>
      </w:tr>
    </w:tbl>
    <w:p w:rsidR="00123E46" w:rsidRDefault="00123E46">
      <w:pPr>
        <w:widowControl/>
        <w:jc w:val="left"/>
        <w:rPr>
          <w:rFonts w:ascii="仿宋" w:eastAsia="仿宋" w:hAnsi="仿宋"/>
          <w:sz w:val="32"/>
          <w:szCs w:val="32"/>
        </w:rPr>
      </w:pPr>
    </w:p>
    <w:tbl>
      <w:tblPr>
        <w:tblpPr w:leftFromText="180" w:rightFromText="180" w:vertAnchor="text" w:horzAnchor="margin" w:tblpX="-176" w:tblpY="178"/>
        <w:tblW w:w="9000" w:type="dxa"/>
        <w:tblLayout w:type="fixed"/>
        <w:tblLook w:val="04A0"/>
      </w:tblPr>
      <w:tblGrid>
        <w:gridCol w:w="534"/>
        <w:gridCol w:w="850"/>
        <w:gridCol w:w="1701"/>
        <w:gridCol w:w="744"/>
        <w:gridCol w:w="721"/>
        <w:gridCol w:w="1124"/>
        <w:gridCol w:w="671"/>
        <w:gridCol w:w="1146"/>
        <w:gridCol w:w="1509"/>
      </w:tblGrid>
      <w:tr w:rsidR="00123E46">
        <w:trPr>
          <w:trHeight w:val="174"/>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 w:val="18"/>
                <w:szCs w:val="18"/>
              </w:rPr>
            </w:pPr>
            <w:r>
              <w:rPr>
                <w:rFonts w:asciiTheme="minorEastAsia" w:hAnsiTheme="minorEastAsia" w:cs="Arial"/>
                <w:b/>
                <w:bCs/>
                <w:color w:val="000000"/>
                <w:kern w:val="0"/>
                <w:sz w:val="18"/>
                <w:szCs w:val="18"/>
              </w:rPr>
              <w:lastRenderedPageBreak/>
              <w:t>序号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 w:val="18"/>
                <w:szCs w:val="18"/>
              </w:rPr>
            </w:pPr>
            <w:r>
              <w:rPr>
                <w:rFonts w:asciiTheme="minorEastAsia" w:hAnsiTheme="minorEastAsia" w:cs="Arial"/>
                <w:b/>
                <w:bCs/>
                <w:color w:val="000000"/>
                <w:kern w:val="0"/>
                <w:sz w:val="18"/>
                <w:szCs w:val="18"/>
              </w:rPr>
              <w:t>案号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 w:val="18"/>
                <w:szCs w:val="18"/>
              </w:rPr>
            </w:pPr>
            <w:r>
              <w:rPr>
                <w:rFonts w:asciiTheme="minorEastAsia" w:hAnsiTheme="minorEastAsia" w:cs="Arial"/>
                <w:b/>
                <w:bCs/>
                <w:color w:val="000000"/>
                <w:kern w:val="0"/>
                <w:sz w:val="18"/>
                <w:szCs w:val="18"/>
              </w:rPr>
              <w:t>案件名称</w:t>
            </w:r>
          </w:p>
        </w:tc>
        <w:tc>
          <w:tcPr>
            <w:tcW w:w="744"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 w:val="18"/>
                <w:szCs w:val="18"/>
              </w:rPr>
            </w:pPr>
            <w:r>
              <w:rPr>
                <w:rFonts w:asciiTheme="minorEastAsia" w:hAnsiTheme="minorEastAsia" w:cs="Arial"/>
                <w:b/>
                <w:bCs/>
                <w:color w:val="000000"/>
                <w:kern w:val="0"/>
                <w:sz w:val="18"/>
                <w:szCs w:val="18"/>
              </w:rPr>
              <w:t>原审案号</w:t>
            </w:r>
          </w:p>
        </w:tc>
        <w:tc>
          <w:tcPr>
            <w:tcW w:w="721"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 w:val="18"/>
                <w:szCs w:val="18"/>
              </w:rPr>
            </w:pPr>
            <w:r>
              <w:rPr>
                <w:rFonts w:asciiTheme="minorEastAsia" w:hAnsiTheme="minorEastAsia" w:cs="Arial"/>
                <w:b/>
                <w:bCs/>
                <w:color w:val="000000"/>
                <w:kern w:val="0"/>
                <w:sz w:val="18"/>
                <w:szCs w:val="18"/>
              </w:rPr>
              <w:t>原审法院</w:t>
            </w:r>
          </w:p>
        </w:tc>
        <w:tc>
          <w:tcPr>
            <w:tcW w:w="1124"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 w:val="18"/>
                <w:szCs w:val="18"/>
              </w:rPr>
            </w:pPr>
            <w:r>
              <w:rPr>
                <w:rFonts w:asciiTheme="minorEastAsia" w:hAnsiTheme="minorEastAsia" w:cs="Arial"/>
                <w:b/>
                <w:bCs/>
                <w:color w:val="000000"/>
                <w:kern w:val="0"/>
                <w:sz w:val="18"/>
                <w:szCs w:val="18"/>
              </w:rPr>
              <w:t>立案日期</w:t>
            </w:r>
          </w:p>
        </w:tc>
        <w:tc>
          <w:tcPr>
            <w:tcW w:w="671"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 w:val="18"/>
                <w:szCs w:val="18"/>
              </w:rPr>
            </w:pPr>
            <w:r>
              <w:rPr>
                <w:rFonts w:asciiTheme="minorEastAsia" w:hAnsiTheme="minorEastAsia" w:cs="Arial"/>
                <w:b/>
                <w:bCs/>
                <w:color w:val="000000"/>
                <w:kern w:val="0"/>
                <w:sz w:val="18"/>
                <w:szCs w:val="18"/>
              </w:rPr>
              <w:t>承办人</w:t>
            </w:r>
          </w:p>
        </w:tc>
        <w:tc>
          <w:tcPr>
            <w:tcW w:w="1146"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 w:val="18"/>
                <w:szCs w:val="18"/>
              </w:rPr>
            </w:pPr>
            <w:r>
              <w:rPr>
                <w:rFonts w:asciiTheme="minorEastAsia" w:hAnsiTheme="minorEastAsia" w:cs="Arial"/>
                <w:b/>
                <w:bCs/>
                <w:color w:val="000000"/>
                <w:kern w:val="0"/>
                <w:sz w:val="18"/>
                <w:szCs w:val="18"/>
              </w:rPr>
              <w:t>结案日期</w:t>
            </w:r>
          </w:p>
        </w:tc>
        <w:tc>
          <w:tcPr>
            <w:tcW w:w="1509" w:type="dxa"/>
            <w:tcBorders>
              <w:top w:val="single" w:sz="4" w:space="0" w:color="auto"/>
              <w:left w:val="nil"/>
              <w:bottom w:val="single" w:sz="4" w:space="0" w:color="auto"/>
              <w:right w:val="single" w:sz="4" w:space="0" w:color="auto"/>
            </w:tcBorders>
            <w:shd w:val="clear" w:color="000000" w:fill="FFFFFF"/>
            <w:vAlign w:val="center"/>
          </w:tcPr>
          <w:p w:rsidR="00123E46" w:rsidRDefault="00363513">
            <w:pPr>
              <w:widowControl/>
              <w:jc w:val="center"/>
              <w:rPr>
                <w:rFonts w:asciiTheme="minorEastAsia" w:hAnsiTheme="minorEastAsia" w:cs="Arial"/>
                <w:b/>
                <w:bCs/>
                <w:color w:val="000000"/>
                <w:kern w:val="0"/>
                <w:sz w:val="18"/>
                <w:szCs w:val="18"/>
              </w:rPr>
            </w:pPr>
            <w:r>
              <w:rPr>
                <w:rFonts w:asciiTheme="minorEastAsia" w:hAnsiTheme="minorEastAsia" w:cs="Arial"/>
                <w:b/>
                <w:bCs/>
                <w:color w:val="000000"/>
                <w:kern w:val="0"/>
                <w:sz w:val="18"/>
                <w:szCs w:val="18"/>
              </w:rPr>
              <w:t>结案方式</w:t>
            </w:r>
          </w:p>
        </w:tc>
      </w:tr>
      <w:tr w:rsidR="00123E46">
        <w:trPr>
          <w:trHeight w:val="1339"/>
        </w:trPr>
        <w:tc>
          <w:tcPr>
            <w:tcW w:w="534"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1</w:t>
            </w:r>
            <w:r>
              <w:rPr>
                <w:rFonts w:asciiTheme="minorEastAsia" w:hAnsiTheme="minorEastAsia" w:cs="Arial" w:hint="eastAsia"/>
                <w:color w:val="000000"/>
                <w:kern w:val="0"/>
                <w:sz w:val="18"/>
                <w:szCs w:val="18"/>
              </w:rPr>
              <w:t>2</w:t>
            </w:r>
          </w:p>
        </w:tc>
        <w:tc>
          <w:tcPr>
            <w:tcW w:w="850"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（2017）吉民申3292号</w:t>
            </w:r>
          </w:p>
        </w:tc>
        <w:tc>
          <w:tcPr>
            <w:tcW w:w="170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民事温铸国申请劳动争议、人事争议再审审查一案</w:t>
            </w:r>
          </w:p>
        </w:tc>
        <w:tc>
          <w:tcPr>
            <w:tcW w:w="74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（2017）吉76民终9号</w:t>
            </w:r>
          </w:p>
        </w:tc>
        <w:tc>
          <w:tcPr>
            <w:tcW w:w="72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长春林区中级法院</w:t>
            </w:r>
          </w:p>
        </w:tc>
        <w:tc>
          <w:tcPr>
            <w:tcW w:w="1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2017-10-11</w:t>
            </w:r>
          </w:p>
        </w:tc>
        <w:tc>
          <w:tcPr>
            <w:tcW w:w="67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李丽</w:t>
            </w:r>
          </w:p>
        </w:tc>
        <w:tc>
          <w:tcPr>
            <w:tcW w:w="114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2018-01-08</w:t>
            </w:r>
          </w:p>
        </w:tc>
        <w:tc>
          <w:tcPr>
            <w:tcW w:w="15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驳回申诉、再审申请、再审检察建议或抗诉</w:t>
            </w:r>
          </w:p>
        </w:tc>
      </w:tr>
      <w:tr w:rsidR="00123E46">
        <w:trPr>
          <w:trHeight w:val="1414"/>
        </w:trPr>
        <w:tc>
          <w:tcPr>
            <w:tcW w:w="534"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13</w:t>
            </w:r>
          </w:p>
        </w:tc>
        <w:tc>
          <w:tcPr>
            <w:tcW w:w="850"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（2017）吉民申3291号</w:t>
            </w:r>
          </w:p>
        </w:tc>
        <w:tc>
          <w:tcPr>
            <w:tcW w:w="170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民事王全富申请合同、无因管理、不当得利纠纷再审审查一案</w:t>
            </w:r>
          </w:p>
        </w:tc>
        <w:tc>
          <w:tcPr>
            <w:tcW w:w="74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（2017）吉76民终10号</w:t>
            </w:r>
          </w:p>
        </w:tc>
        <w:tc>
          <w:tcPr>
            <w:tcW w:w="72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长春林区中级法院</w:t>
            </w:r>
          </w:p>
        </w:tc>
        <w:tc>
          <w:tcPr>
            <w:tcW w:w="1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2017-10-11</w:t>
            </w:r>
          </w:p>
        </w:tc>
        <w:tc>
          <w:tcPr>
            <w:tcW w:w="67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林丽艳</w:t>
            </w:r>
          </w:p>
        </w:tc>
        <w:tc>
          <w:tcPr>
            <w:tcW w:w="114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2018-01-09</w:t>
            </w:r>
          </w:p>
        </w:tc>
        <w:tc>
          <w:tcPr>
            <w:tcW w:w="15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驳回申诉、再审申请、再审检察建议或抗诉</w:t>
            </w:r>
          </w:p>
        </w:tc>
      </w:tr>
      <w:tr w:rsidR="00123E46">
        <w:trPr>
          <w:trHeight w:val="174"/>
        </w:trPr>
        <w:tc>
          <w:tcPr>
            <w:tcW w:w="534"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14</w:t>
            </w:r>
          </w:p>
        </w:tc>
        <w:tc>
          <w:tcPr>
            <w:tcW w:w="850"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（2017）吉刑申228号</w:t>
            </w:r>
          </w:p>
        </w:tc>
        <w:tc>
          <w:tcPr>
            <w:tcW w:w="170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刑事杨立峰申请侵犯公民人身权利、民主权利罪再审审查一案</w:t>
            </w:r>
          </w:p>
        </w:tc>
        <w:tc>
          <w:tcPr>
            <w:tcW w:w="74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(2016)吉76刑终2号 16册</w:t>
            </w:r>
          </w:p>
        </w:tc>
        <w:tc>
          <w:tcPr>
            <w:tcW w:w="72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长春林区中级法院</w:t>
            </w:r>
          </w:p>
        </w:tc>
        <w:tc>
          <w:tcPr>
            <w:tcW w:w="1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2017-10-17</w:t>
            </w:r>
          </w:p>
        </w:tc>
        <w:tc>
          <w:tcPr>
            <w:tcW w:w="67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任淑秋</w:t>
            </w:r>
          </w:p>
        </w:tc>
        <w:tc>
          <w:tcPr>
            <w:tcW w:w="114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2018-03-01</w:t>
            </w:r>
          </w:p>
        </w:tc>
        <w:tc>
          <w:tcPr>
            <w:tcW w:w="15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驳回申诉、再审申请、再审检察建议或抗诉</w:t>
            </w:r>
          </w:p>
        </w:tc>
      </w:tr>
      <w:tr w:rsidR="00123E46">
        <w:trPr>
          <w:trHeight w:val="174"/>
        </w:trPr>
        <w:tc>
          <w:tcPr>
            <w:tcW w:w="534"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15</w:t>
            </w:r>
          </w:p>
        </w:tc>
        <w:tc>
          <w:tcPr>
            <w:tcW w:w="850"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（2018）吉民申112号</w:t>
            </w:r>
          </w:p>
        </w:tc>
        <w:tc>
          <w:tcPr>
            <w:tcW w:w="170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民事周清海等申请物权纠纷再审审查一案</w:t>
            </w:r>
          </w:p>
        </w:tc>
        <w:tc>
          <w:tcPr>
            <w:tcW w:w="74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（2017）吉76民终41号</w:t>
            </w:r>
          </w:p>
        </w:tc>
        <w:tc>
          <w:tcPr>
            <w:tcW w:w="72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长春林区中级法院</w:t>
            </w:r>
          </w:p>
        </w:tc>
        <w:tc>
          <w:tcPr>
            <w:tcW w:w="1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2018-01-05</w:t>
            </w:r>
          </w:p>
        </w:tc>
        <w:tc>
          <w:tcPr>
            <w:tcW w:w="67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陆海权</w:t>
            </w:r>
          </w:p>
        </w:tc>
        <w:tc>
          <w:tcPr>
            <w:tcW w:w="114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2018-03-27</w:t>
            </w:r>
          </w:p>
        </w:tc>
        <w:tc>
          <w:tcPr>
            <w:tcW w:w="15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驳回申诉、再审申请、再审检察建议或抗诉</w:t>
            </w:r>
          </w:p>
        </w:tc>
      </w:tr>
      <w:tr w:rsidR="00123E46">
        <w:trPr>
          <w:trHeight w:val="174"/>
        </w:trPr>
        <w:tc>
          <w:tcPr>
            <w:tcW w:w="534"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16</w:t>
            </w:r>
          </w:p>
        </w:tc>
        <w:tc>
          <w:tcPr>
            <w:tcW w:w="850"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（2018）吉民申113号</w:t>
            </w:r>
          </w:p>
        </w:tc>
        <w:tc>
          <w:tcPr>
            <w:tcW w:w="170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民事韩志刚申请物权纠纷再审审查一案</w:t>
            </w:r>
          </w:p>
        </w:tc>
        <w:tc>
          <w:tcPr>
            <w:tcW w:w="74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（2017）吉76民终39号</w:t>
            </w:r>
          </w:p>
        </w:tc>
        <w:tc>
          <w:tcPr>
            <w:tcW w:w="72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长春林区中级法院</w:t>
            </w:r>
          </w:p>
        </w:tc>
        <w:tc>
          <w:tcPr>
            <w:tcW w:w="1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2018-01-05</w:t>
            </w:r>
          </w:p>
        </w:tc>
        <w:tc>
          <w:tcPr>
            <w:tcW w:w="67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宫斌</w:t>
            </w:r>
          </w:p>
        </w:tc>
        <w:tc>
          <w:tcPr>
            <w:tcW w:w="114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2018-03-26</w:t>
            </w:r>
          </w:p>
        </w:tc>
        <w:tc>
          <w:tcPr>
            <w:tcW w:w="15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驳回申诉、再审申请、再审检察建议或抗诉</w:t>
            </w:r>
          </w:p>
        </w:tc>
      </w:tr>
      <w:tr w:rsidR="00123E46">
        <w:trPr>
          <w:trHeight w:val="174"/>
        </w:trPr>
        <w:tc>
          <w:tcPr>
            <w:tcW w:w="534"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17</w:t>
            </w:r>
          </w:p>
        </w:tc>
        <w:tc>
          <w:tcPr>
            <w:tcW w:w="850"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（2018）吉民申273号</w:t>
            </w:r>
          </w:p>
        </w:tc>
        <w:tc>
          <w:tcPr>
            <w:tcW w:w="170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民事王建江申请合同、无因管理、不当得利纠纷再审审查一案</w:t>
            </w:r>
          </w:p>
        </w:tc>
        <w:tc>
          <w:tcPr>
            <w:tcW w:w="74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（2017）吉76民终38号</w:t>
            </w:r>
          </w:p>
        </w:tc>
        <w:tc>
          <w:tcPr>
            <w:tcW w:w="72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长春林区中级法院</w:t>
            </w:r>
          </w:p>
        </w:tc>
        <w:tc>
          <w:tcPr>
            <w:tcW w:w="1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2018-01-12</w:t>
            </w:r>
          </w:p>
        </w:tc>
        <w:tc>
          <w:tcPr>
            <w:tcW w:w="67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刘彦峰</w:t>
            </w:r>
          </w:p>
        </w:tc>
        <w:tc>
          <w:tcPr>
            <w:tcW w:w="114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2018-02-12</w:t>
            </w:r>
          </w:p>
        </w:tc>
        <w:tc>
          <w:tcPr>
            <w:tcW w:w="15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驳回申诉、再审申请、再审检察建议或抗诉</w:t>
            </w:r>
          </w:p>
        </w:tc>
      </w:tr>
      <w:tr w:rsidR="00123E46">
        <w:trPr>
          <w:trHeight w:val="174"/>
        </w:trPr>
        <w:tc>
          <w:tcPr>
            <w:tcW w:w="534"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18</w:t>
            </w:r>
          </w:p>
        </w:tc>
        <w:tc>
          <w:tcPr>
            <w:tcW w:w="850"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（2018）吉民申1240号</w:t>
            </w:r>
          </w:p>
        </w:tc>
        <w:tc>
          <w:tcPr>
            <w:tcW w:w="170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民事抚松县翔麟房地产开发有限公司申请合同、无因管理、不当得利纠纷再审审查一案</w:t>
            </w:r>
          </w:p>
        </w:tc>
        <w:tc>
          <w:tcPr>
            <w:tcW w:w="74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（2017）吉76民终52号</w:t>
            </w:r>
          </w:p>
        </w:tc>
        <w:tc>
          <w:tcPr>
            <w:tcW w:w="72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长春林区中级法院</w:t>
            </w:r>
          </w:p>
        </w:tc>
        <w:tc>
          <w:tcPr>
            <w:tcW w:w="1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2018-04-20</w:t>
            </w:r>
          </w:p>
        </w:tc>
        <w:tc>
          <w:tcPr>
            <w:tcW w:w="67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宋文国</w:t>
            </w:r>
          </w:p>
        </w:tc>
        <w:tc>
          <w:tcPr>
            <w:tcW w:w="114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 xml:space="preserve">　</w:t>
            </w:r>
          </w:p>
        </w:tc>
        <w:tc>
          <w:tcPr>
            <w:tcW w:w="15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 xml:space="preserve">　</w:t>
            </w:r>
          </w:p>
        </w:tc>
      </w:tr>
      <w:tr w:rsidR="00123E46" w:rsidTr="003C34C6">
        <w:trPr>
          <w:trHeight w:val="1348"/>
        </w:trPr>
        <w:tc>
          <w:tcPr>
            <w:tcW w:w="534" w:type="dxa"/>
            <w:tcBorders>
              <w:top w:val="nil"/>
              <w:left w:val="single" w:sz="4" w:space="0" w:color="auto"/>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hint="eastAsia"/>
                <w:color w:val="000000"/>
                <w:kern w:val="0"/>
                <w:sz w:val="18"/>
                <w:szCs w:val="18"/>
              </w:rPr>
              <w:t>19</w:t>
            </w:r>
          </w:p>
        </w:tc>
        <w:tc>
          <w:tcPr>
            <w:tcW w:w="850"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（2018）吉民申2150号</w:t>
            </w:r>
          </w:p>
        </w:tc>
        <w:tc>
          <w:tcPr>
            <w:tcW w:w="170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民事王德君申请合同、无因管理、不当得利纠纷再审审查一案</w:t>
            </w:r>
          </w:p>
        </w:tc>
        <w:tc>
          <w:tcPr>
            <w:tcW w:w="74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（2017）吉76民终48号</w:t>
            </w:r>
          </w:p>
        </w:tc>
        <w:tc>
          <w:tcPr>
            <w:tcW w:w="72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长春林区中级法院</w:t>
            </w:r>
          </w:p>
        </w:tc>
        <w:tc>
          <w:tcPr>
            <w:tcW w:w="1124"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2018-06-11</w:t>
            </w:r>
          </w:p>
        </w:tc>
        <w:tc>
          <w:tcPr>
            <w:tcW w:w="671"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薛淼</w:t>
            </w:r>
          </w:p>
        </w:tc>
        <w:tc>
          <w:tcPr>
            <w:tcW w:w="1146"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 xml:space="preserve">　</w:t>
            </w:r>
          </w:p>
        </w:tc>
        <w:tc>
          <w:tcPr>
            <w:tcW w:w="1509" w:type="dxa"/>
            <w:tcBorders>
              <w:top w:val="nil"/>
              <w:left w:val="nil"/>
              <w:bottom w:val="single" w:sz="4" w:space="0" w:color="auto"/>
              <w:right w:val="single" w:sz="4" w:space="0" w:color="auto"/>
            </w:tcBorders>
            <w:shd w:val="clear" w:color="000000" w:fill="FFFFFF"/>
            <w:vAlign w:val="center"/>
          </w:tcPr>
          <w:p w:rsidR="00123E46" w:rsidRDefault="00363513">
            <w:pPr>
              <w:widowControl/>
              <w:jc w:val="left"/>
              <w:rPr>
                <w:rFonts w:asciiTheme="minorEastAsia" w:hAnsiTheme="minorEastAsia" w:cs="Arial"/>
                <w:color w:val="000000"/>
                <w:kern w:val="0"/>
                <w:sz w:val="18"/>
                <w:szCs w:val="18"/>
              </w:rPr>
            </w:pPr>
            <w:r>
              <w:rPr>
                <w:rFonts w:asciiTheme="minorEastAsia" w:hAnsiTheme="minorEastAsia" w:cs="Arial"/>
                <w:color w:val="000000"/>
                <w:kern w:val="0"/>
                <w:sz w:val="18"/>
                <w:szCs w:val="18"/>
              </w:rPr>
              <w:t xml:space="preserve">　</w:t>
            </w:r>
          </w:p>
        </w:tc>
      </w:tr>
    </w:tbl>
    <w:p w:rsidR="003C34C6" w:rsidRPr="003C34C6" w:rsidRDefault="003C34C6" w:rsidP="003C34C6">
      <w:pPr>
        <w:rPr>
          <w:rFonts w:ascii="仿宋" w:eastAsia="仿宋" w:hAnsi="仿宋"/>
          <w:sz w:val="32"/>
          <w:szCs w:val="32"/>
        </w:rPr>
      </w:pPr>
    </w:p>
    <w:sectPr w:rsidR="003C34C6" w:rsidRPr="003C34C6" w:rsidSect="003C34C6">
      <w:headerReference w:type="first" r:id="rId3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71B" w:rsidRDefault="0029471B" w:rsidP="00123E46">
      <w:r>
        <w:separator/>
      </w:r>
    </w:p>
  </w:endnote>
  <w:endnote w:type="continuationSeparator" w:id="1">
    <w:p w:rsidR="0029471B" w:rsidRDefault="0029471B" w:rsidP="00123E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9" w:rsidRDefault="007D0D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78"/>
      <w:docPartObj>
        <w:docPartGallery w:val="Page Numbers (Bottom of Page)"/>
        <w:docPartUnique/>
      </w:docPartObj>
    </w:sdtPr>
    <w:sdtContent>
      <w:p w:rsidR="00C4406B" w:rsidRDefault="00C30462">
        <w:pPr>
          <w:pStyle w:val="a5"/>
          <w:jc w:val="center"/>
        </w:pPr>
        <w:fldSimple w:instr=" PAGE   \* MERGEFORMAT ">
          <w:r w:rsidR="00702FF4" w:rsidRPr="00702FF4">
            <w:rPr>
              <w:noProof/>
              <w:lang w:val="zh-CN"/>
            </w:rPr>
            <w:t>15</w:t>
          </w:r>
        </w:fldSimple>
      </w:p>
    </w:sdtContent>
  </w:sdt>
  <w:p w:rsidR="00C4406B" w:rsidRDefault="00C4406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9" w:rsidRDefault="007D0D9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06B" w:rsidRDefault="00C30462">
    <w:pPr>
      <w:pStyle w:val="a5"/>
      <w:jc w:val="center"/>
    </w:pPr>
    <w:fldSimple w:instr=" PAGE   \* MERGEFORMAT ">
      <w:r w:rsidR="00702FF4" w:rsidRPr="00702FF4">
        <w:rPr>
          <w:noProof/>
          <w:lang w:val="zh-CN"/>
        </w:rPr>
        <w:t>1</w:t>
      </w:r>
    </w:fldSimple>
  </w:p>
  <w:p w:rsidR="00C4406B" w:rsidRDefault="00C440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71B" w:rsidRDefault="0029471B" w:rsidP="00123E46">
      <w:r>
        <w:separator/>
      </w:r>
    </w:p>
  </w:footnote>
  <w:footnote w:type="continuationSeparator" w:id="1">
    <w:p w:rsidR="0029471B" w:rsidRDefault="0029471B" w:rsidP="00123E46">
      <w:r>
        <w:continuationSeparator/>
      </w:r>
    </w:p>
  </w:footnote>
  <w:footnote w:id="2">
    <w:p w:rsidR="00C4406B" w:rsidRDefault="00C4406B">
      <w:pPr>
        <w:pStyle w:val="a7"/>
      </w:pPr>
      <w:r>
        <w:rPr>
          <w:rStyle w:val="a8"/>
        </w:rPr>
        <w:footnoteRef/>
      </w:r>
      <w:r>
        <w:rPr>
          <w:rFonts w:hint="eastAsia"/>
        </w:rPr>
        <w:t>省院审判绩效考核指标中长期未结诉讼案件是指超过</w:t>
      </w:r>
      <w:r>
        <w:rPr>
          <w:rFonts w:hint="eastAsia"/>
        </w:rPr>
        <w:t>12</w:t>
      </w:r>
      <w:r>
        <w:rPr>
          <w:rFonts w:hint="eastAsia"/>
        </w:rPr>
        <w:t>个月、</w:t>
      </w:r>
      <w:r>
        <w:rPr>
          <w:rFonts w:hint="eastAsia"/>
        </w:rPr>
        <w:t>24</w:t>
      </w:r>
      <w:r>
        <w:rPr>
          <w:rFonts w:hint="eastAsia"/>
        </w:rPr>
        <w:t>个月未结的诉讼案件。</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9" w:rsidRDefault="007D0D9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9" w:rsidRDefault="007D0D9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9" w:rsidRDefault="007D0D9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C6" w:rsidRDefault="003C34C6" w:rsidP="003C34C6">
    <w:pPr>
      <w:pStyle w:val="a6"/>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fillcolor="white" stroke="f">
      <v:fill color="white"/>
      <v:stroke on="f"/>
      <v:shadow on="t" color="silver" opacity="52429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B54"/>
    <w:rsid w:val="00001ADA"/>
    <w:rsid w:val="00001CC6"/>
    <w:rsid w:val="00003997"/>
    <w:rsid w:val="00003D00"/>
    <w:rsid w:val="00004C14"/>
    <w:rsid w:val="00007C9D"/>
    <w:rsid w:val="00013E9F"/>
    <w:rsid w:val="0001510A"/>
    <w:rsid w:val="000179F5"/>
    <w:rsid w:val="00022643"/>
    <w:rsid w:val="00026542"/>
    <w:rsid w:val="00031AAA"/>
    <w:rsid w:val="000333E6"/>
    <w:rsid w:val="00033F01"/>
    <w:rsid w:val="00033F53"/>
    <w:rsid w:val="00034A55"/>
    <w:rsid w:val="00040FAC"/>
    <w:rsid w:val="000421B5"/>
    <w:rsid w:val="000439B9"/>
    <w:rsid w:val="00044F9D"/>
    <w:rsid w:val="00044FDB"/>
    <w:rsid w:val="00046362"/>
    <w:rsid w:val="00046A05"/>
    <w:rsid w:val="00051A0E"/>
    <w:rsid w:val="00054755"/>
    <w:rsid w:val="00055BA2"/>
    <w:rsid w:val="00056488"/>
    <w:rsid w:val="00056E73"/>
    <w:rsid w:val="000577F4"/>
    <w:rsid w:val="0006464F"/>
    <w:rsid w:val="00067086"/>
    <w:rsid w:val="0007274B"/>
    <w:rsid w:val="00075BC4"/>
    <w:rsid w:val="000766B6"/>
    <w:rsid w:val="00077DB2"/>
    <w:rsid w:val="000834EF"/>
    <w:rsid w:val="00084417"/>
    <w:rsid w:val="000868CB"/>
    <w:rsid w:val="000950D0"/>
    <w:rsid w:val="000961F1"/>
    <w:rsid w:val="000963FD"/>
    <w:rsid w:val="000A04E1"/>
    <w:rsid w:val="000A1F51"/>
    <w:rsid w:val="000A1FD7"/>
    <w:rsid w:val="000A2304"/>
    <w:rsid w:val="000A2B27"/>
    <w:rsid w:val="000A2F73"/>
    <w:rsid w:val="000B5401"/>
    <w:rsid w:val="000B6C49"/>
    <w:rsid w:val="000C095A"/>
    <w:rsid w:val="000C2EA9"/>
    <w:rsid w:val="000C3F45"/>
    <w:rsid w:val="000C6B6B"/>
    <w:rsid w:val="000C6C9D"/>
    <w:rsid w:val="000D132B"/>
    <w:rsid w:val="000D44AA"/>
    <w:rsid w:val="000D67DF"/>
    <w:rsid w:val="000E0582"/>
    <w:rsid w:val="000E0D45"/>
    <w:rsid w:val="000E2089"/>
    <w:rsid w:val="000E2A5E"/>
    <w:rsid w:val="000E3060"/>
    <w:rsid w:val="000E37B8"/>
    <w:rsid w:val="000E41D7"/>
    <w:rsid w:val="000E483E"/>
    <w:rsid w:val="000E4D84"/>
    <w:rsid w:val="000E6594"/>
    <w:rsid w:val="000E6909"/>
    <w:rsid w:val="000E7D10"/>
    <w:rsid w:val="000F0A2A"/>
    <w:rsid w:val="000F53D0"/>
    <w:rsid w:val="000F558A"/>
    <w:rsid w:val="00100AEA"/>
    <w:rsid w:val="0010132F"/>
    <w:rsid w:val="001100F7"/>
    <w:rsid w:val="001103E0"/>
    <w:rsid w:val="00111547"/>
    <w:rsid w:val="00111B6D"/>
    <w:rsid w:val="001171F5"/>
    <w:rsid w:val="0011784B"/>
    <w:rsid w:val="00121EE9"/>
    <w:rsid w:val="00122E6A"/>
    <w:rsid w:val="00123E46"/>
    <w:rsid w:val="0013173D"/>
    <w:rsid w:val="00136C54"/>
    <w:rsid w:val="00137446"/>
    <w:rsid w:val="00137CB4"/>
    <w:rsid w:val="0014305D"/>
    <w:rsid w:val="00144B87"/>
    <w:rsid w:val="001508E5"/>
    <w:rsid w:val="00151787"/>
    <w:rsid w:val="00151DAA"/>
    <w:rsid w:val="00151F3A"/>
    <w:rsid w:val="001522DA"/>
    <w:rsid w:val="00152401"/>
    <w:rsid w:val="001547D2"/>
    <w:rsid w:val="00155BFB"/>
    <w:rsid w:val="0015724A"/>
    <w:rsid w:val="00163A49"/>
    <w:rsid w:val="00164065"/>
    <w:rsid w:val="001647AB"/>
    <w:rsid w:val="001658E6"/>
    <w:rsid w:val="00166C7C"/>
    <w:rsid w:val="00170BA3"/>
    <w:rsid w:val="001760CE"/>
    <w:rsid w:val="0017778D"/>
    <w:rsid w:val="0018021A"/>
    <w:rsid w:val="00181D0F"/>
    <w:rsid w:val="00181E7C"/>
    <w:rsid w:val="0018317B"/>
    <w:rsid w:val="00184D53"/>
    <w:rsid w:val="00185000"/>
    <w:rsid w:val="00185BE2"/>
    <w:rsid w:val="00192DC4"/>
    <w:rsid w:val="00193531"/>
    <w:rsid w:val="001937FA"/>
    <w:rsid w:val="00194848"/>
    <w:rsid w:val="00195CA4"/>
    <w:rsid w:val="001966D3"/>
    <w:rsid w:val="001972D2"/>
    <w:rsid w:val="001A3B2F"/>
    <w:rsid w:val="001A5437"/>
    <w:rsid w:val="001A5DF2"/>
    <w:rsid w:val="001A685C"/>
    <w:rsid w:val="001A7D9A"/>
    <w:rsid w:val="001B62AC"/>
    <w:rsid w:val="001B66D8"/>
    <w:rsid w:val="001C1DF3"/>
    <w:rsid w:val="001C2B24"/>
    <w:rsid w:val="001C2D19"/>
    <w:rsid w:val="001C6351"/>
    <w:rsid w:val="001C707A"/>
    <w:rsid w:val="001D0D53"/>
    <w:rsid w:val="001E0D8B"/>
    <w:rsid w:val="001E1497"/>
    <w:rsid w:val="001E374A"/>
    <w:rsid w:val="001E76EE"/>
    <w:rsid w:val="001E7894"/>
    <w:rsid w:val="001E7E57"/>
    <w:rsid w:val="001E7F73"/>
    <w:rsid w:val="001F2129"/>
    <w:rsid w:val="001F45A6"/>
    <w:rsid w:val="002005ED"/>
    <w:rsid w:val="00201A13"/>
    <w:rsid w:val="0020367F"/>
    <w:rsid w:val="00203A7D"/>
    <w:rsid w:val="00203D07"/>
    <w:rsid w:val="00210DF1"/>
    <w:rsid w:val="002166BB"/>
    <w:rsid w:val="0021708C"/>
    <w:rsid w:val="002170C4"/>
    <w:rsid w:val="002176D3"/>
    <w:rsid w:val="002220AA"/>
    <w:rsid w:val="002220FD"/>
    <w:rsid w:val="0022526D"/>
    <w:rsid w:val="00227B2F"/>
    <w:rsid w:val="0023447E"/>
    <w:rsid w:val="0023622C"/>
    <w:rsid w:val="00237487"/>
    <w:rsid w:val="00242447"/>
    <w:rsid w:val="00244C64"/>
    <w:rsid w:val="00245326"/>
    <w:rsid w:val="00246DA9"/>
    <w:rsid w:val="0025041F"/>
    <w:rsid w:val="002508A6"/>
    <w:rsid w:val="002518ED"/>
    <w:rsid w:val="00255E6F"/>
    <w:rsid w:val="0026502B"/>
    <w:rsid w:val="0026672E"/>
    <w:rsid w:val="002704AA"/>
    <w:rsid w:val="002706FA"/>
    <w:rsid w:val="00272D1D"/>
    <w:rsid w:val="0027388D"/>
    <w:rsid w:val="00274F04"/>
    <w:rsid w:val="002752EC"/>
    <w:rsid w:val="00276F7E"/>
    <w:rsid w:val="00280FE6"/>
    <w:rsid w:val="002849C6"/>
    <w:rsid w:val="00286B02"/>
    <w:rsid w:val="00287857"/>
    <w:rsid w:val="00291F42"/>
    <w:rsid w:val="00293040"/>
    <w:rsid w:val="0029439A"/>
    <w:rsid w:val="0029471B"/>
    <w:rsid w:val="002971D7"/>
    <w:rsid w:val="002A17FA"/>
    <w:rsid w:val="002A7D6A"/>
    <w:rsid w:val="002B16C3"/>
    <w:rsid w:val="002B2DB8"/>
    <w:rsid w:val="002B4215"/>
    <w:rsid w:val="002B6AE8"/>
    <w:rsid w:val="002B75B8"/>
    <w:rsid w:val="002C17CF"/>
    <w:rsid w:val="002C22DA"/>
    <w:rsid w:val="002C279D"/>
    <w:rsid w:val="002C3BD2"/>
    <w:rsid w:val="002C489B"/>
    <w:rsid w:val="002C6BF5"/>
    <w:rsid w:val="002C782B"/>
    <w:rsid w:val="002C7B3E"/>
    <w:rsid w:val="002D0AED"/>
    <w:rsid w:val="002D260A"/>
    <w:rsid w:val="002D359F"/>
    <w:rsid w:val="002D3D95"/>
    <w:rsid w:val="002D67A8"/>
    <w:rsid w:val="002E040E"/>
    <w:rsid w:val="002E0F67"/>
    <w:rsid w:val="002E1523"/>
    <w:rsid w:val="002E1DBE"/>
    <w:rsid w:val="002E3ECE"/>
    <w:rsid w:val="002E4A4D"/>
    <w:rsid w:val="002E4E3F"/>
    <w:rsid w:val="002E6087"/>
    <w:rsid w:val="002F157F"/>
    <w:rsid w:val="002F1EA9"/>
    <w:rsid w:val="002F505C"/>
    <w:rsid w:val="002F5D77"/>
    <w:rsid w:val="003002CD"/>
    <w:rsid w:val="00301E6D"/>
    <w:rsid w:val="00304B74"/>
    <w:rsid w:val="003054BC"/>
    <w:rsid w:val="00305515"/>
    <w:rsid w:val="003115FB"/>
    <w:rsid w:val="00313702"/>
    <w:rsid w:val="0031378C"/>
    <w:rsid w:val="0031490E"/>
    <w:rsid w:val="00314E31"/>
    <w:rsid w:val="003172FF"/>
    <w:rsid w:val="00321307"/>
    <w:rsid w:val="00326061"/>
    <w:rsid w:val="00327B77"/>
    <w:rsid w:val="003307FE"/>
    <w:rsid w:val="00340806"/>
    <w:rsid w:val="0034257A"/>
    <w:rsid w:val="00344DF3"/>
    <w:rsid w:val="003457E6"/>
    <w:rsid w:val="00351ED5"/>
    <w:rsid w:val="00353F5F"/>
    <w:rsid w:val="0035418B"/>
    <w:rsid w:val="00355AB3"/>
    <w:rsid w:val="00360F1D"/>
    <w:rsid w:val="00362FB2"/>
    <w:rsid w:val="00363513"/>
    <w:rsid w:val="00363A39"/>
    <w:rsid w:val="003665E4"/>
    <w:rsid w:val="00371F93"/>
    <w:rsid w:val="00375FC9"/>
    <w:rsid w:val="00377235"/>
    <w:rsid w:val="003774DA"/>
    <w:rsid w:val="00377EF6"/>
    <w:rsid w:val="00380111"/>
    <w:rsid w:val="00382987"/>
    <w:rsid w:val="003869D9"/>
    <w:rsid w:val="003906AB"/>
    <w:rsid w:val="00390B26"/>
    <w:rsid w:val="00393EE8"/>
    <w:rsid w:val="003977E2"/>
    <w:rsid w:val="00397F20"/>
    <w:rsid w:val="003A0210"/>
    <w:rsid w:val="003A0946"/>
    <w:rsid w:val="003A2997"/>
    <w:rsid w:val="003A46B9"/>
    <w:rsid w:val="003A6DDB"/>
    <w:rsid w:val="003A70AD"/>
    <w:rsid w:val="003B071B"/>
    <w:rsid w:val="003B35B0"/>
    <w:rsid w:val="003B510D"/>
    <w:rsid w:val="003B6671"/>
    <w:rsid w:val="003B7D1E"/>
    <w:rsid w:val="003C25F0"/>
    <w:rsid w:val="003C34C6"/>
    <w:rsid w:val="003C53B3"/>
    <w:rsid w:val="003C59A8"/>
    <w:rsid w:val="003C5EED"/>
    <w:rsid w:val="003C7A49"/>
    <w:rsid w:val="003D13EE"/>
    <w:rsid w:val="003D2FB0"/>
    <w:rsid w:val="003D4F82"/>
    <w:rsid w:val="003D570F"/>
    <w:rsid w:val="003D6646"/>
    <w:rsid w:val="003E030F"/>
    <w:rsid w:val="003E1821"/>
    <w:rsid w:val="003E199A"/>
    <w:rsid w:val="003E589C"/>
    <w:rsid w:val="003E6B0B"/>
    <w:rsid w:val="003F30C7"/>
    <w:rsid w:val="003F3FF3"/>
    <w:rsid w:val="003F5B63"/>
    <w:rsid w:val="003F68B6"/>
    <w:rsid w:val="004015AA"/>
    <w:rsid w:val="00401F3B"/>
    <w:rsid w:val="00402B3C"/>
    <w:rsid w:val="004046D7"/>
    <w:rsid w:val="004057DD"/>
    <w:rsid w:val="00405BD2"/>
    <w:rsid w:val="00406DA9"/>
    <w:rsid w:val="00407B6C"/>
    <w:rsid w:val="00407D27"/>
    <w:rsid w:val="0041306F"/>
    <w:rsid w:val="004130B4"/>
    <w:rsid w:val="004132B2"/>
    <w:rsid w:val="00414C56"/>
    <w:rsid w:val="00415B51"/>
    <w:rsid w:val="00415F23"/>
    <w:rsid w:val="0042687C"/>
    <w:rsid w:val="004301FB"/>
    <w:rsid w:val="004360A8"/>
    <w:rsid w:val="00437CF8"/>
    <w:rsid w:val="004402E1"/>
    <w:rsid w:val="00441482"/>
    <w:rsid w:val="004421A0"/>
    <w:rsid w:val="00442746"/>
    <w:rsid w:val="004428A4"/>
    <w:rsid w:val="0044306B"/>
    <w:rsid w:val="004442B1"/>
    <w:rsid w:val="004506FA"/>
    <w:rsid w:val="004518A7"/>
    <w:rsid w:val="00453115"/>
    <w:rsid w:val="00456237"/>
    <w:rsid w:val="00460010"/>
    <w:rsid w:val="004627C8"/>
    <w:rsid w:val="0046461D"/>
    <w:rsid w:val="004652FA"/>
    <w:rsid w:val="004674BF"/>
    <w:rsid w:val="00472633"/>
    <w:rsid w:val="004727E9"/>
    <w:rsid w:val="0047533C"/>
    <w:rsid w:val="00475DF1"/>
    <w:rsid w:val="0048221E"/>
    <w:rsid w:val="00492C70"/>
    <w:rsid w:val="00492F1B"/>
    <w:rsid w:val="00493929"/>
    <w:rsid w:val="00493958"/>
    <w:rsid w:val="004939C5"/>
    <w:rsid w:val="00495514"/>
    <w:rsid w:val="004961BE"/>
    <w:rsid w:val="004A494F"/>
    <w:rsid w:val="004A7E42"/>
    <w:rsid w:val="004B036F"/>
    <w:rsid w:val="004B217A"/>
    <w:rsid w:val="004B35E6"/>
    <w:rsid w:val="004B6B23"/>
    <w:rsid w:val="004C25F2"/>
    <w:rsid w:val="004C40B7"/>
    <w:rsid w:val="004C6462"/>
    <w:rsid w:val="004D02DA"/>
    <w:rsid w:val="004D08BA"/>
    <w:rsid w:val="004D436E"/>
    <w:rsid w:val="004D745C"/>
    <w:rsid w:val="004E0381"/>
    <w:rsid w:val="004E42FF"/>
    <w:rsid w:val="004E4326"/>
    <w:rsid w:val="004E4A35"/>
    <w:rsid w:val="004E5358"/>
    <w:rsid w:val="004F035C"/>
    <w:rsid w:val="004F42C9"/>
    <w:rsid w:val="004F626C"/>
    <w:rsid w:val="005027DA"/>
    <w:rsid w:val="00502970"/>
    <w:rsid w:val="00505D1E"/>
    <w:rsid w:val="00506494"/>
    <w:rsid w:val="00507D55"/>
    <w:rsid w:val="00510F6B"/>
    <w:rsid w:val="00511A15"/>
    <w:rsid w:val="00511BCF"/>
    <w:rsid w:val="005131EB"/>
    <w:rsid w:val="005215BF"/>
    <w:rsid w:val="00526C16"/>
    <w:rsid w:val="00530779"/>
    <w:rsid w:val="00535CF5"/>
    <w:rsid w:val="00536158"/>
    <w:rsid w:val="00536B95"/>
    <w:rsid w:val="005400C3"/>
    <w:rsid w:val="00540E11"/>
    <w:rsid w:val="00541265"/>
    <w:rsid w:val="00541B42"/>
    <w:rsid w:val="00542050"/>
    <w:rsid w:val="0054311B"/>
    <w:rsid w:val="005475B4"/>
    <w:rsid w:val="0055092B"/>
    <w:rsid w:val="00554283"/>
    <w:rsid w:val="00554630"/>
    <w:rsid w:val="00555094"/>
    <w:rsid w:val="005564F2"/>
    <w:rsid w:val="00561392"/>
    <w:rsid w:val="00561A81"/>
    <w:rsid w:val="00561F30"/>
    <w:rsid w:val="0056415B"/>
    <w:rsid w:val="00565525"/>
    <w:rsid w:val="0056621C"/>
    <w:rsid w:val="00566729"/>
    <w:rsid w:val="00571B4F"/>
    <w:rsid w:val="00572615"/>
    <w:rsid w:val="00574977"/>
    <w:rsid w:val="00575F6D"/>
    <w:rsid w:val="00576157"/>
    <w:rsid w:val="00576865"/>
    <w:rsid w:val="005802AC"/>
    <w:rsid w:val="005802BE"/>
    <w:rsid w:val="00582908"/>
    <w:rsid w:val="00583971"/>
    <w:rsid w:val="0058535E"/>
    <w:rsid w:val="00586C1A"/>
    <w:rsid w:val="00586EF2"/>
    <w:rsid w:val="005871FC"/>
    <w:rsid w:val="00590B7C"/>
    <w:rsid w:val="00590D06"/>
    <w:rsid w:val="00590E00"/>
    <w:rsid w:val="00590F82"/>
    <w:rsid w:val="00591CFC"/>
    <w:rsid w:val="00593167"/>
    <w:rsid w:val="005962D7"/>
    <w:rsid w:val="00596F3F"/>
    <w:rsid w:val="005A2BED"/>
    <w:rsid w:val="005A695B"/>
    <w:rsid w:val="005A70B7"/>
    <w:rsid w:val="005A784D"/>
    <w:rsid w:val="005B0584"/>
    <w:rsid w:val="005B10F6"/>
    <w:rsid w:val="005B1968"/>
    <w:rsid w:val="005B5055"/>
    <w:rsid w:val="005B6E37"/>
    <w:rsid w:val="005C1EE3"/>
    <w:rsid w:val="005C235F"/>
    <w:rsid w:val="005C2638"/>
    <w:rsid w:val="005C3A72"/>
    <w:rsid w:val="005C40F6"/>
    <w:rsid w:val="005C612E"/>
    <w:rsid w:val="005C62D4"/>
    <w:rsid w:val="005D131E"/>
    <w:rsid w:val="005D2821"/>
    <w:rsid w:val="005D2D18"/>
    <w:rsid w:val="005D34B0"/>
    <w:rsid w:val="005D4B96"/>
    <w:rsid w:val="005D4E30"/>
    <w:rsid w:val="005D53D1"/>
    <w:rsid w:val="005D7442"/>
    <w:rsid w:val="005E138B"/>
    <w:rsid w:val="005E2330"/>
    <w:rsid w:val="005E2B32"/>
    <w:rsid w:val="005E40B9"/>
    <w:rsid w:val="005E5F9E"/>
    <w:rsid w:val="005E60F1"/>
    <w:rsid w:val="005E71EB"/>
    <w:rsid w:val="005F3283"/>
    <w:rsid w:val="005F5976"/>
    <w:rsid w:val="005F5990"/>
    <w:rsid w:val="005F5EF6"/>
    <w:rsid w:val="005F7F90"/>
    <w:rsid w:val="006026A0"/>
    <w:rsid w:val="00602FF1"/>
    <w:rsid w:val="00607948"/>
    <w:rsid w:val="0061046E"/>
    <w:rsid w:val="00612914"/>
    <w:rsid w:val="00613A29"/>
    <w:rsid w:val="00617F77"/>
    <w:rsid w:val="00622130"/>
    <w:rsid w:val="006236AF"/>
    <w:rsid w:val="0062509B"/>
    <w:rsid w:val="006272C0"/>
    <w:rsid w:val="006328BE"/>
    <w:rsid w:val="00633A06"/>
    <w:rsid w:val="00633CF8"/>
    <w:rsid w:val="00634047"/>
    <w:rsid w:val="0063483B"/>
    <w:rsid w:val="006423E0"/>
    <w:rsid w:val="00646857"/>
    <w:rsid w:val="00647102"/>
    <w:rsid w:val="00650A21"/>
    <w:rsid w:val="00653031"/>
    <w:rsid w:val="006546E1"/>
    <w:rsid w:val="00654B89"/>
    <w:rsid w:val="00667DA1"/>
    <w:rsid w:val="00670D45"/>
    <w:rsid w:val="00671B79"/>
    <w:rsid w:val="00671E86"/>
    <w:rsid w:val="00674BEB"/>
    <w:rsid w:val="006767D1"/>
    <w:rsid w:val="00681A17"/>
    <w:rsid w:val="00685B26"/>
    <w:rsid w:val="006931F4"/>
    <w:rsid w:val="006933D1"/>
    <w:rsid w:val="00695C01"/>
    <w:rsid w:val="00696BC6"/>
    <w:rsid w:val="006A1A96"/>
    <w:rsid w:val="006A1B73"/>
    <w:rsid w:val="006A291B"/>
    <w:rsid w:val="006A29C5"/>
    <w:rsid w:val="006A34BD"/>
    <w:rsid w:val="006A527E"/>
    <w:rsid w:val="006B0F9B"/>
    <w:rsid w:val="006B1951"/>
    <w:rsid w:val="006B2E1F"/>
    <w:rsid w:val="006B6E0F"/>
    <w:rsid w:val="006B76FF"/>
    <w:rsid w:val="006C0789"/>
    <w:rsid w:val="006C0923"/>
    <w:rsid w:val="006D033F"/>
    <w:rsid w:val="006D1A92"/>
    <w:rsid w:val="006D1B42"/>
    <w:rsid w:val="006D34FF"/>
    <w:rsid w:val="006D39BC"/>
    <w:rsid w:val="006D4B2B"/>
    <w:rsid w:val="006D7FA2"/>
    <w:rsid w:val="006E2F35"/>
    <w:rsid w:val="006E3E57"/>
    <w:rsid w:val="006E5B16"/>
    <w:rsid w:val="006E649D"/>
    <w:rsid w:val="006E65CC"/>
    <w:rsid w:val="006E73A8"/>
    <w:rsid w:val="006F00E1"/>
    <w:rsid w:val="006F0988"/>
    <w:rsid w:val="006F0EB5"/>
    <w:rsid w:val="006F1744"/>
    <w:rsid w:val="006F7E0A"/>
    <w:rsid w:val="007009BF"/>
    <w:rsid w:val="00701C4C"/>
    <w:rsid w:val="00702FF4"/>
    <w:rsid w:val="00704162"/>
    <w:rsid w:val="0070474B"/>
    <w:rsid w:val="00710D75"/>
    <w:rsid w:val="00711082"/>
    <w:rsid w:val="00711A2B"/>
    <w:rsid w:val="00712861"/>
    <w:rsid w:val="00721B0C"/>
    <w:rsid w:val="00727578"/>
    <w:rsid w:val="0073002D"/>
    <w:rsid w:val="007319C8"/>
    <w:rsid w:val="0073386D"/>
    <w:rsid w:val="00733D5A"/>
    <w:rsid w:val="00733DE3"/>
    <w:rsid w:val="00734822"/>
    <w:rsid w:val="00736377"/>
    <w:rsid w:val="007370D1"/>
    <w:rsid w:val="00737B57"/>
    <w:rsid w:val="00743ED3"/>
    <w:rsid w:val="00745370"/>
    <w:rsid w:val="00746C01"/>
    <w:rsid w:val="00751B04"/>
    <w:rsid w:val="007528D2"/>
    <w:rsid w:val="007544BB"/>
    <w:rsid w:val="007557F8"/>
    <w:rsid w:val="0075703B"/>
    <w:rsid w:val="00757A7D"/>
    <w:rsid w:val="007607EE"/>
    <w:rsid w:val="00764902"/>
    <w:rsid w:val="00764BD7"/>
    <w:rsid w:val="00765379"/>
    <w:rsid w:val="00766F19"/>
    <w:rsid w:val="00772112"/>
    <w:rsid w:val="0077323E"/>
    <w:rsid w:val="007738FC"/>
    <w:rsid w:val="0077498C"/>
    <w:rsid w:val="00774BDA"/>
    <w:rsid w:val="007750D8"/>
    <w:rsid w:val="00775430"/>
    <w:rsid w:val="007802A0"/>
    <w:rsid w:val="00781F42"/>
    <w:rsid w:val="00782837"/>
    <w:rsid w:val="00783539"/>
    <w:rsid w:val="00784247"/>
    <w:rsid w:val="0079102A"/>
    <w:rsid w:val="00791FF5"/>
    <w:rsid w:val="00797C72"/>
    <w:rsid w:val="007A2C48"/>
    <w:rsid w:val="007A31FA"/>
    <w:rsid w:val="007A44E8"/>
    <w:rsid w:val="007A5872"/>
    <w:rsid w:val="007A6E84"/>
    <w:rsid w:val="007A72A8"/>
    <w:rsid w:val="007B048D"/>
    <w:rsid w:val="007B1562"/>
    <w:rsid w:val="007B2247"/>
    <w:rsid w:val="007B3424"/>
    <w:rsid w:val="007B3F35"/>
    <w:rsid w:val="007B45BC"/>
    <w:rsid w:val="007B6C94"/>
    <w:rsid w:val="007C014E"/>
    <w:rsid w:val="007C2CDA"/>
    <w:rsid w:val="007C37AD"/>
    <w:rsid w:val="007C5334"/>
    <w:rsid w:val="007D09C8"/>
    <w:rsid w:val="007D0D99"/>
    <w:rsid w:val="007D1227"/>
    <w:rsid w:val="007D35F9"/>
    <w:rsid w:val="007D52CE"/>
    <w:rsid w:val="007D5BDA"/>
    <w:rsid w:val="007E14CA"/>
    <w:rsid w:val="007E3BE9"/>
    <w:rsid w:val="007E6454"/>
    <w:rsid w:val="007E796D"/>
    <w:rsid w:val="007F0AED"/>
    <w:rsid w:val="007F37B8"/>
    <w:rsid w:val="007F3C60"/>
    <w:rsid w:val="007F469F"/>
    <w:rsid w:val="007F5B24"/>
    <w:rsid w:val="008000DB"/>
    <w:rsid w:val="008051F5"/>
    <w:rsid w:val="00805399"/>
    <w:rsid w:val="00806298"/>
    <w:rsid w:val="0081107A"/>
    <w:rsid w:val="00814A77"/>
    <w:rsid w:val="008154FE"/>
    <w:rsid w:val="00817122"/>
    <w:rsid w:val="00817A91"/>
    <w:rsid w:val="0082007B"/>
    <w:rsid w:val="00822F69"/>
    <w:rsid w:val="0082620F"/>
    <w:rsid w:val="00826BFF"/>
    <w:rsid w:val="00827688"/>
    <w:rsid w:val="00830D6F"/>
    <w:rsid w:val="00830F5D"/>
    <w:rsid w:val="00832664"/>
    <w:rsid w:val="00832961"/>
    <w:rsid w:val="0083506E"/>
    <w:rsid w:val="00835173"/>
    <w:rsid w:val="00840278"/>
    <w:rsid w:val="00842F08"/>
    <w:rsid w:val="0084366E"/>
    <w:rsid w:val="0085093A"/>
    <w:rsid w:val="00850F4B"/>
    <w:rsid w:val="00852C37"/>
    <w:rsid w:val="008531AE"/>
    <w:rsid w:val="00855E80"/>
    <w:rsid w:val="00861A95"/>
    <w:rsid w:val="00863B31"/>
    <w:rsid w:val="00871952"/>
    <w:rsid w:val="0087229C"/>
    <w:rsid w:val="0087396F"/>
    <w:rsid w:val="008757BB"/>
    <w:rsid w:val="00876AE8"/>
    <w:rsid w:val="00880B9D"/>
    <w:rsid w:val="00881E06"/>
    <w:rsid w:val="00883298"/>
    <w:rsid w:val="00883788"/>
    <w:rsid w:val="0088484D"/>
    <w:rsid w:val="00885B86"/>
    <w:rsid w:val="00886114"/>
    <w:rsid w:val="00890762"/>
    <w:rsid w:val="008927DC"/>
    <w:rsid w:val="008A1DE7"/>
    <w:rsid w:val="008A23CE"/>
    <w:rsid w:val="008A34DB"/>
    <w:rsid w:val="008A35EE"/>
    <w:rsid w:val="008A3AC2"/>
    <w:rsid w:val="008A78DC"/>
    <w:rsid w:val="008B1E74"/>
    <w:rsid w:val="008B2339"/>
    <w:rsid w:val="008B2A4A"/>
    <w:rsid w:val="008B41F4"/>
    <w:rsid w:val="008B44CD"/>
    <w:rsid w:val="008B4932"/>
    <w:rsid w:val="008B63E0"/>
    <w:rsid w:val="008C11DB"/>
    <w:rsid w:val="008C1B13"/>
    <w:rsid w:val="008C1C87"/>
    <w:rsid w:val="008C222E"/>
    <w:rsid w:val="008C2CF0"/>
    <w:rsid w:val="008C3393"/>
    <w:rsid w:val="008C359E"/>
    <w:rsid w:val="008C492A"/>
    <w:rsid w:val="008C6705"/>
    <w:rsid w:val="008C6FA0"/>
    <w:rsid w:val="008C79E6"/>
    <w:rsid w:val="008D0A8E"/>
    <w:rsid w:val="008D582F"/>
    <w:rsid w:val="008D5AFE"/>
    <w:rsid w:val="008D5F49"/>
    <w:rsid w:val="008D6CB3"/>
    <w:rsid w:val="008D7887"/>
    <w:rsid w:val="008D7F0C"/>
    <w:rsid w:val="008E17D5"/>
    <w:rsid w:val="008E1FFF"/>
    <w:rsid w:val="008E2B70"/>
    <w:rsid w:val="008E2CA2"/>
    <w:rsid w:val="008E4F7A"/>
    <w:rsid w:val="008E61FC"/>
    <w:rsid w:val="008E6966"/>
    <w:rsid w:val="008F35E8"/>
    <w:rsid w:val="008F54AF"/>
    <w:rsid w:val="008F79BF"/>
    <w:rsid w:val="008F7CB9"/>
    <w:rsid w:val="009006F0"/>
    <w:rsid w:val="00901365"/>
    <w:rsid w:val="00901534"/>
    <w:rsid w:val="00901F77"/>
    <w:rsid w:val="00906B06"/>
    <w:rsid w:val="00911FF3"/>
    <w:rsid w:val="00912A29"/>
    <w:rsid w:val="00913C7D"/>
    <w:rsid w:val="00914E7E"/>
    <w:rsid w:val="00916E67"/>
    <w:rsid w:val="00917B10"/>
    <w:rsid w:val="0092150F"/>
    <w:rsid w:val="00930851"/>
    <w:rsid w:val="00931248"/>
    <w:rsid w:val="00934655"/>
    <w:rsid w:val="00936294"/>
    <w:rsid w:val="00936411"/>
    <w:rsid w:val="00936416"/>
    <w:rsid w:val="009403C3"/>
    <w:rsid w:val="00946BE9"/>
    <w:rsid w:val="00950B54"/>
    <w:rsid w:val="00950D68"/>
    <w:rsid w:val="00957810"/>
    <w:rsid w:val="00957C0B"/>
    <w:rsid w:val="00961052"/>
    <w:rsid w:val="00963FF2"/>
    <w:rsid w:val="00965BB8"/>
    <w:rsid w:val="00973096"/>
    <w:rsid w:val="009744A4"/>
    <w:rsid w:val="0097553E"/>
    <w:rsid w:val="00975981"/>
    <w:rsid w:val="009759C5"/>
    <w:rsid w:val="00981C52"/>
    <w:rsid w:val="00981EA1"/>
    <w:rsid w:val="0098211F"/>
    <w:rsid w:val="009858B4"/>
    <w:rsid w:val="009859EB"/>
    <w:rsid w:val="00986C3E"/>
    <w:rsid w:val="00992A27"/>
    <w:rsid w:val="00996424"/>
    <w:rsid w:val="009A1B53"/>
    <w:rsid w:val="009A66B1"/>
    <w:rsid w:val="009A74E0"/>
    <w:rsid w:val="009B1EEC"/>
    <w:rsid w:val="009B3DCF"/>
    <w:rsid w:val="009B3DD1"/>
    <w:rsid w:val="009B6A3E"/>
    <w:rsid w:val="009C01FF"/>
    <w:rsid w:val="009C23F5"/>
    <w:rsid w:val="009C29E8"/>
    <w:rsid w:val="009C2C58"/>
    <w:rsid w:val="009C3070"/>
    <w:rsid w:val="009C32C7"/>
    <w:rsid w:val="009C37E4"/>
    <w:rsid w:val="009C6D3D"/>
    <w:rsid w:val="009C795C"/>
    <w:rsid w:val="009C7E86"/>
    <w:rsid w:val="009D248F"/>
    <w:rsid w:val="009D3C19"/>
    <w:rsid w:val="009E13B4"/>
    <w:rsid w:val="009E2829"/>
    <w:rsid w:val="009E4D28"/>
    <w:rsid w:val="009F2064"/>
    <w:rsid w:val="009F54EB"/>
    <w:rsid w:val="009F7827"/>
    <w:rsid w:val="00A02D13"/>
    <w:rsid w:val="00A05255"/>
    <w:rsid w:val="00A101A3"/>
    <w:rsid w:val="00A16370"/>
    <w:rsid w:val="00A16F0A"/>
    <w:rsid w:val="00A17FA1"/>
    <w:rsid w:val="00A21EEC"/>
    <w:rsid w:val="00A25EF2"/>
    <w:rsid w:val="00A26803"/>
    <w:rsid w:val="00A27E12"/>
    <w:rsid w:val="00A33802"/>
    <w:rsid w:val="00A34944"/>
    <w:rsid w:val="00A36DCD"/>
    <w:rsid w:val="00A37991"/>
    <w:rsid w:val="00A40871"/>
    <w:rsid w:val="00A43513"/>
    <w:rsid w:val="00A4360A"/>
    <w:rsid w:val="00A46EF7"/>
    <w:rsid w:val="00A47611"/>
    <w:rsid w:val="00A478C4"/>
    <w:rsid w:val="00A5229D"/>
    <w:rsid w:val="00A573D8"/>
    <w:rsid w:val="00A57CAD"/>
    <w:rsid w:val="00A60224"/>
    <w:rsid w:val="00A725CF"/>
    <w:rsid w:val="00A739D5"/>
    <w:rsid w:val="00A74BCE"/>
    <w:rsid w:val="00A82B8E"/>
    <w:rsid w:val="00A8669B"/>
    <w:rsid w:val="00A91D5E"/>
    <w:rsid w:val="00AA2063"/>
    <w:rsid w:val="00AA3EA9"/>
    <w:rsid w:val="00AA56F2"/>
    <w:rsid w:val="00AA5ECB"/>
    <w:rsid w:val="00AB11CE"/>
    <w:rsid w:val="00AB28C9"/>
    <w:rsid w:val="00AB4CF5"/>
    <w:rsid w:val="00AB5E9C"/>
    <w:rsid w:val="00AC24E4"/>
    <w:rsid w:val="00AC2A41"/>
    <w:rsid w:val="00AC3F50"/>
    <w:rsid w:val="00AC4915"/>
    <w:rsid w:val="00AC67FA"/>
    <w:rsid w:val="00AD171D"/>
    <w:rsid w:val="00AD1F85"/>
    <w:rsid w:val="00AD4547"/>
    <w:rsid w:val="00AD4D23"/>
    <w:rsid w:val="00AD74C0"/>
    <w:rsid w:val="00AE0CCD"/>
    <w:rsid w:val="00AF3551"/>
    <w:rsid w:val="00AF390B"/>
    <w:rsid w:val="00AF393E"/>
    <w:rsid w:val="00AF3FF6"/>
    <w:rsid w:val="00AF5326"/>
    <w:rsid w:val="00AF6759"/>
    <w:rsid w:val="00B0268B"/>
    <w:rsid w:val="00B048EB"/>
    <w:rsid w:val="00B137CC"/>
    <w:rsid w:val="00B17666"/>
    <w:rsid w:val="00B20505"/>
    <w:rsid w:val="00B21A35"/>
    <w:rsid w:val="00B226A1"/>
    <w:rsid w:val="00B23BC1"/>
    <w:rsid w:val="00B27B9F"/>
    <w:rsid w:val="00B3303D"/>
    <w:rsid w:val="00B33A3E"/>
    <w:rsid w:val="00B355E1"/>
    <w:rsid w:val="00B35BF4"/>
    <w:rsid w:val="00B35E1D"/>
    <w:rsid w:val="00B364BA"/>
    <w:rsid w:val="00B402EE"/>
    <w:rsid w:val="00B40A0C"/>
    <w:rsid w:val="00B414FB"/>
    <w:rsid w:val="00B4155B"/>
    <w:rsid w:val="00B42B45"/>
    <w:rsid w:val="00B43DC0"/>
    <w:rsid w:val="00B44B1E"/>
    <w:rsid w:val="00B44C82"/>
    <w:rsid w:val="00B44ED6"/>
    <w:rsid w:val="00B45DDA"/>
    <w:rsid w:val="00B5058F"/>
    <w:rsid w:val="00B51FB6"/>
    <w:rsid w:val="00B52B6D"/>
    <w:rsid w:val="00B52FC2"/>
    <w:rsid w:val="00B54D5B"/>
    <w:rsid w:val="00B6180C"/>
    <w:rsid w:val="00B61858"/>
    <w:rsid w:val="00B6452A"/>
    <w:rsid w:val="00B67C86"/>
    <w:rsid w:val="00B73629"/>
    <w:rsid w:val="00B74AC7"/>
    <w:rsid w:val="00B84FCD"/>
    <w:rsid w:val="00B850B0"/>
    <w:rsid w:val="00B85422"/>
    <w:rsid w:val="00B85E9D"/>
    <w:rsid w:val="00B8736A"/>
    <w:rsid w:val="00B920C1"/>
    <w:rsid w:val="00B96C77"/>
    <w:rsid w:val="00B97BCC"/>
    <w:rsid w:val="00BA0E09"/>
    <w:rsid w:val="00BA37B4"/>
    <w:rsid w:val="00BA3AF0"/>
    <w:rsid w:val="00BA5483"/>
    <w:rsid w:val="00BB0A69"/>
    <w:rsid w:val="00BB0E6F"/>
    <w:rsid w:val="00BB19F0"/>
    <w:rsid w:val="00BC35A5"/>
    <w:rsid w:val="00BC4D9E"/>
    <w:rsid w:val="00BD0773"/>
    <w:rsid w:val="00BD21FE"/>
    <w:rsid w:val="00BD40B4"/>
    <w:rsid w:val="00BD60F7"/>
    <w:rsid w:val="00BD74D4"/>
    <w:rsid w:val="00BD78FC"/>
    <w:rsid w:val="00BE0495"/>
    <w:rsid w:val="00BE0D70"/>
    <w:rsid w:val="00BE120F"/>
    <w:rsid w:val="00BE21D0"/>
    <w:rsid w:val="00BE2C87"/>
    <w:rsid w:val="00BE5863"/>
    <w:rsid w:val="00BE7D6C"/>
    <w:rsid w:val="00BF010D"/>
    <w:rsid w:val="00BF2FB6"/>
    <w:rsid w:val="00C01D93"/>
    <w:rsid w:val="00C03666"/>
    <w:rsid w:val="00C0541D"/>
    <w:rsid w:val="00C05F3B"/>
    <w:rsid w:val="00C05FE8"/>
    <w:rsid w:val="00C106D7"/>
    <w:rsid w:val="00C10E57"/>
    <w:rsid w:val="00C16546"/>
    <w:rsid w:val="00C20228"/>
    <w:rsid w:val="00C2595C"/>
    <w:rsid w:val="00C25D3D"/>
    <w:rsid w:val="00C25DD5"/>
    <w:rsid w:val="00C26E55"/>
    <w:rsid w:val="00C26FDF"/>
    <w:rsid w:val="00C300EA"/>
    <w:rsid w:val="00C30462"/>
    <w:rsid w:val="00C30612"/>
    <w:rsid w:val="00C32EFA"/>
    <w:rsid w:val="00C34B70"/>
    <w:rsid w:val="00C37884"/>
    <w:rsid w:val="00C409E6"/>
    <w:rsid w:val="00C41FBF"/>
    <w:rsid w:val="00C4406B"/>
    <w:rsid w:val="00C4583C"/>
    <w:rsid w:val="00C47402"/>
    <w:rsid w:val="00C5034B"/>
    <w:rsid w:val="00C51A9A"/>
    <w:rsid w:val="00C527D8"/>
    <w:rsid w:val="00C52E4C"/>
    <w:rsid w:val="00C535F9"/>
    <w:rsid w:val="00C54187"/>
    <w:rsid w:val="00C6096B"/>
    <w:rsid w:val="00C62B90"/>
    <w:rsid w:val="00C62CB4"/>
    <w:rsid w:val="00C674E1"/>
    <w:rsid w:val="00C7035B"/>
    <w:rsid w:val="00C72668"/>
    <w:rsid w:val="00C7617A"/>
    <w:rsid w:val="00C8103F"/>
    <w:rsid w:val="00C84AA0"/>
    <w:rsid w:val="00C852BC"/>
    <w:rsid w:val="00C900F0"/>
    <w:rsid w:val="00C93791"/>
    <w:rsid w:val="00C93CDD"/>
    <w:rsid w:val="00C94A9A"/>
    <w:rsid w:val="00C97C72"/>
    <w:rsid w:val="00CA1038"/>
    <w:rsid w:val="00CA2BB3"/>
    <w:rsid w:val="00CB0411"/>
    <w:rsid w:val="00CB0A56"/>
    <w:rsid w:val="00CB150A"/>
    <w:rsid w:val="00CB1C16"/>
    <w:rsid w:val="00CC08C8"/>
    <w:rsid w:val="00CC0A6E"/>
    <w:rsid w:val="00CC0DA1"/>
    <w:rsid w:val="00CC2148"/>
    <w:rsid w:val="00CC3876"/>
    <w:rsid w:val="00CD0603"/>
    <w:rsid w:val="00CD0BBA"/>
    <w:rsid w:val="00CD2475"/>
    <w:rsid w:val="00CD2700"/>
    <w:rsid w:val="00CD4BC7"/>
    <w:rsid w:val="00CD4E07"/>
    <w:rsid w:val="00CD7C9D"/>
    <w:rsid w:val="00CE3D59"/>
    <w:rsid w:val="00CE79D6"/>
    <w:rsid w:val="00CF3D0F"/>
    <w:rsid w:val="00CF71AC"/>
    <w:rsid w:val="00CF7387"/>
    <w:rsid w:val="00D0022C"/>
    <w:rsid w:val="00D01BCB"/>
    <w:rsid w:val="00D0365E"/>
    <w:rsid w:val="00D03F65"/>
    <w:rsid w:val="00D05BD5"/>
    <w:rsid w:val="00D06273"/>
    <w:rsid w:val="00D06A77"/>
    <w:rsid w:val="00D116FE"/>
    <w:rsid w:val="00D13304"/>
    <w:rsid w:val="00D14C01"/>
    <w:rsid w:val="00D1512B"/>
    <w:rsid w:val="00D16A4B"/>
    <w:rsid w:val="00D21067"/>
    <w:rsid w:val="00D2122C"/>
    <w:rsid w:val="00D213CC"/>
    <w:rsid w:val="00D22657"/>
    <w:rsid w:val="00D22ED6"/>
    <w:rsid w:val="00D245B0"/>
    <w:rsid w:val="00D25E2F"/>
    <w:rsid w:val="00D27102"/>
    <w:rsid w:val="00D30FC6"/>
    <w:rsid w:val="00D33114"/>
    <w:rsid w:val="00D3506A"/>
    <w:rsid w:val="00D35BDF"/>
    <w:rsid w:val="00D40270"/>
    <w:rsid w:val="00D434ED"/>
    <w:rsid w:val="00D502AA"/>
    <w:rsid w:val="00D5120B"/>
    <w:rsid w:val="00D522D2"/>
    <w:rsid w:val="00D53F04"/>
    <w:rsid w:val="00D5743C"/>
    <w:rsid w:val="00D57693"/>
    <w:rsid w:val="00D62A48"/>
    <w:rsid w:val="00D65907"/>
    <w:rsid w:val="00D668BF"/>
    <w:rsid w:val="00D66C8B"/>
    <w:rsid w:val="00D67F00"/>
    <w:rsid w:val="00D701AF"/>
    <w:rsid w:val="00D721C8"/>
    <w:rsid w:val="00D7288D"/>
    <w:rsid w:val="00D7305B"/>
    <w:rsid w:val="00D76794"/>
    <w:rsid w:val="00D80C38"/>
    <w:rsid w:val="00D82F2B"/>
    <w:rsid w:val="00D83F07"/>
    <w:rsid w:val="00D86497"/>
    <w:rsid w:val="00D871E6"/>
    <w:rsid w:val="00D92159"/>
    <w:rsid w:val="00D96F03"/>
    <w:rsid w:val="00D974A0"/>
    <w:rsid w:val="00DA2858"/>
    <w:rsid w:val="00DA4A69"/>
    <w:rsid w:val="00DA551C"/>
    <w:rsid w:val="00DA62C0"/>
    <w:rsid w:val="00DA71EB"/>
    <w:rsid w:val="00DB117E"/>
    <w:rsid w:val="00DB4CD3"/>
    <w:rsid w:val="00DB608B"/>
    <w:rsid w:val="00DC046E"/>
    <w:rsid w:val="00DC1C0A"/>
    <w:rsid w:val="00DC231E"/>
    <w:rsid w:val="00DC2B71"/>
    <w:rsid w:val="00DD12DA"/>
    <w:rsid w:val="00DD30D4"/>
    <w:rsid w:val="00DD5517"/>
    <w:rsid w:val="00DE25C6"/>
    <w:rsid w:val="00DE665E"/>
    <w:rsid w:val="00DE69FA"/>
    <w:rsid w:val="00DF1B86"/>
    <w:rsid w:val="00DF37FF"/>
    <w:rsid w:val="00DF5F64"/>
    <w:rsid w:val="00E04E02"/>
    <w:rsid w:val="00E0512C"/>
    <w:rsid w:val="00E11130"/>
    <w:rsid w:val="00E12E58"/>
    <w:rsid w:val="00E13884"/>
    <w:rsid w:val="00E13EEA"/>
    <w:rsid w:val="00E15A3A"/>
    <w:rsid w:val="00E20397"/>
    <w:rsid w:val="00E23A11"/>
    <w:rsid w:val="00E30F30"/>
    <w:rsid w:val="00E32C2D"/>
    <w:rsid w:val="00E359C8"/>
    <w:rsid w:val="00E35F16"/>
    <w:rsid w:val="00E35FF8"/>
    <w:rsid w:val="00E3623F"/>
    <w:rsid w:val="00E40120"/>
    <w:rsid w:val="00E4052F"/>
    <w:rsid w:val="00E41A92"/>
    <w:rsid w:val="00E43160"/>
    <w:rsid w:val="00E458DD"/>
    <w:rsid w:val="00E46108"/>
    <w:rsid w:val="00E461EC"/>
    <w:rsid w:val="00E46F24"/>
    <w:rsid w:val="00E50644"/>
    <w:rsid w:val="00E52441"/>
    <w:rsid w:val="00E53BF3"/>
    <w:rsid w:val="00E56E20"/>
    <w:rsid w:val="00E64B1B"/>
    <w:rsid w:val="00E66A38"/>
    <w:rsid w:val="00E70074"/>
    <w:rsid w:val="00E70C0B"/>
    <w:rsid w:val="00E71DEA"/>
    <w:rsid w:val="00E72763"/>
    <w:rsid w:val="00E72EFF"/>
    <w:rsid w:val="00E7428D"/>
    <w:rsid w:val="00E74ED5"/>
    <w:rsid w:val="00E76D71"/>
    <w:rsid w:val="00E776CC"/>
    <w:rsid w:val="00E806D3"/>
    <w:rsid w:val="00E80CC0"/>
    <w:rsid w:val="00E84401"/>
    <w:rsid w:val="00E84905"/>
    <w:rsid w:val="00E87347"/>
    <w:rsid w:val="00E90C3C"/>
    <w:rsid w:val="00E90D4B"/>
    <w:rsid w:val="00E93014"/>
    <w:rsid w:val="00E9687E"/>
    <w:rsid w:val="00EA3676"/>
    <w:rsid w:val="00EA4447"/>
    <w:rsid w:val="00EA490F"/>
    <w:rsid w:val="00EA57B0"/>
    <w:rsid w:val="00EA5C84"/>
    <w:rsid w:val="00EA5D74"/>
    <w:rsid w:val="00EA7DE1"/>
    <w:rsid w:val="00EB32AE"/>
    <w:rsid w:val="00EB4A18"/>
    <w:rsid w:val="00EB5E8B"/>
    <w:rsid w:val="00EB6310"/>
    <w:rsid w:val="00EC3972"/>
    <w:rsid w:val="00EC7C8F"/>
    <w:rsid w:val="00ED1B69"/>
    <w:rsid w:val="00ED465E"/>
    <w:rsid w:val="00ED72AD"/>
    <w:rsid w:val="00EE1D5E"/>
    <w:rsid w:val="00EE320B"/>
    <w:rsid w:val="00EE485B"/>
    <w:rsid w:val="00EE5CDF"/>
    <w:rsid w:val="00EE7C90"/>
    <w:rsid w:val="00EF410E"/>
    <w:rsid w:val="00EF5430"/>
    <w:rsid w:val="00EF5603"/>
    <w:rsid w:val="00EF5D05"/>
    <w:rsid w:val="00EF6A92"/>
    <w:rsid w:val="00EF6B25"/>
    <w:rsid w:val="00EF6B60"/>
    <w:rsid w:val="00F004B4"/>
    <w:rsid w:val="00F00D90"/>
    <w:rsid w:val="00F0462A"/>
    <w:rsid w:val="00F048B5"/>
    <w:rsid w:val="00F05AFE"/>
    <w:rsid w:val="00F10C4E"/>
    <w:rsid w:val="00F1570A"/>
    <w:rsid w:val="00F20662"/>
    <w:rsid w:val="00F21007"/>
    <w:rsid w:val="00F21E61"/>
    <w:rsid w:val="00F25CC9"/>
    <w:rsid w:val="00F31689"/>
    <w:rsid w:val="00F32AC4"/>
    <w:rsid w:val="00F35CA3"/>
    <w:rsid w:val="00F36B3F"/>
    <w:rsid w:val="00F42B5E"/>
    <w:rsid w:val="00F430A1"/>
    <w:rsid w:val="00F44F6D"/>
    <w:rsid w:val="00F604C2"/>
    <w:rsid w:val="00F772C2"/>
    <w:rsid w:val="00F801E8"/>
    <w:rsid w:val="00F80FA2"/>
    <w:rsid w:val="00F815F0"/>
    <w:rsid w:val="00F82A8A"/>
    <w:rsid w:val="00F82DD2"/>
    <w:rsid w:val="00F83202"/>
    <w:rsid w:val="00F83BDF"/>
    <w:rsid w:val="00F84701"/>
    <w:rsid w:val="00F84C33"/>
    <w:rsid w:val="00F84DB2"/>
    <w:rsid w:val="00F85478"/>
    <w:rsid w:val="00F86B41"/>
    <w:rsid w:val="00F86E42"/>
    <w:rsid w:val="00F87082"/>
    <w:rsid w:val="00F877FA"/>
    <w:rsid w:val="00F90E97"/>
    <w:rsid w:val="00F90F07"/>
    <w:rsid w:val="00F9190D"/>
    <w:rsid w:val="00F926ED"/>
    <w:rsid w:val="00F92E01"/>
    <w:rsid w:val="00F94FE5"/>
    <w:rsid w:val="00F95101"/>
    <w:rsid w:val="00F95972"/>
    <w:rsid w:val="00F973BF"/>
    <w:rsid w:val="00FA0ABE"/>
    <w:rsid w:val="00FA114C"/>
    <w:rsid w:val="00FA3388"/>
    <w:rsid w:val="00FA44FA"/>
    <w:rsid w:val="00FA536E"/>
    <w:rsid w:val="00FA53E7"/>
    <w:rsid w:val="00FB213F"/>
    <w:rsid w:val="00FB4185"/>
    <w:rsid w:val="00FC2782"/>
    <w:rsid w:val="00FC56FA"/>
    <w:rsid w:val="00FC6086"/>
    <w:rsid w:val="00FC7064"/>
    <w:rsid w:val="00FD0080"/>
    <w:rsid w:val="00FD0081"/>
    <w:rsid w:val="00FD08C9"/>
    <w:rsid w:val="00FD5689"/>
    <w:rsid w:val="00FE1822"/>
    <w:rsid w:val="00FE2052"/>
    <w:rsid w:val="00FE49E6"/>
    <w:rsid w:val="00FE5BD4"/>
    <w:rsid w:val="00FF3FFC"/>
    <w:rsid w:val="00FF6CFD"/>
    <w:rsid w:val="0A267481"/>
    <w:rsid w:val="131335E0"/>
    <w:rsid w:val="1C131386"/>
    <w:rsid w:val="27E079F4"/>
    <w:rsid w:val="2BCD2D9D"/>
    <w:rsid w:val="2C805891"/>
    <w:rsid w:val="306804C2"/>
    <w:rsid w:val="3300279C"/>
    <w:rsid w:val="370F614B"/>
    <w:rsid w:val="3832138F"/>
    <w:rsid w:val="3C2331B0"/>
    <w:rsid w:val="42AC7FA1"/>
    <w:rsid w:val="42B30AD0"/>
    <w:rsid w:val="43EE6058"/>
    <w:rsid w:val="4D29098A"/>
    <w:rsid w:val="4D7343CA"/>
    <w:rsid w:val="4F910743"/>
    <w:rsid w:val="5321145B"/>
    <w:rsid w:val="544E2708"/>
    <w:rsid w:val="5A6041B1"/>
    <w:rsid w:val="60EA39FE"/>
    <w:rsid w:val="61BA3D41"/>
    <w:rsid w:val="65712687"/>
    <w:rsid w:val="69FD06DC"/>
    <w:rsid w:val="6BD77512"/>
    <w:rsid w:val="71315CA3"/>
    <w:rsid w:val="7799389C"/>
    <w:rsid w:val="784426AC"/>
    <w:rsid w:val="7BE843E7"/>
    <w:rsid w:val="7DFA1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stroke="f">
      <v:fill color="white"/>
      <v:stroke on="f"/>
      <v:shadow on="t" color="silver" opacity="5242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123E46"/>
    <w:pPr>
      <w:ind w:leftChars="2500" w:left="100"/>
    </w:pPr>
  </w:style>
  <w:style w:type="paragraph" w:styleId="a4">
    <w:name w:val="Balloon Text"/>
    <w:basedOn w:val="a"/>
    <w:link w:val="Char0"/>
    <w:uiPriority w:val="99"/>
    <w:semiHidden/>
    <w:unhideWhenUsed/>
    <w:qFormat/>
    <w:rsid w:val="00123E46"/>
    <w:rPr>
      <w:sz w:val="18"/>
      <w:szCs w:val="18"/>
    </w:rPr>
  </w:style>
  <w:style w:type="paragraph" w:styleId="a5">
    <w:name w:val="footer"/>
    <w:basedOn w:val="a"/>
    <w:link w:val="Char1"/>
    <w:uiPriority w:val="99"/>
    <w:unhideWhenUsed/>
    <w:qFormat/>
    <w:rsid w:val="00123E4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23E46"/>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123E46"/>
    <w:pPr>
      <w:snapToGrid w:val="0"/>
      <w:jc w:val="left"/>
    </w:pPr>
    <w:rPr>
      <w:sz w:val="18"/>
      <w:szCs w:val="18"/>
    </w:rPr>
  </w:style>
  <w:style w:type="character" w:styleId="a8">
    <w:name w:val="footnote reference"/>
    <w:basedOn w:val="a0"/>
    <w:uiPriority w:val="99"/>
    <w:semiHidden/>
    <w:unhideWhenUsed/>
    <w:rsid w:val="00123E46"/>
    <w:rPr>
      <w:vertAlign w:val="superscript"/>
    </w:rPr>
  </w:style>
  <w:style w:type="character" w:customStyle="1" w:styleId="Char2">
    <w:name w:val="页眉 Char"/>
    <w:basedOn w:val="a0"/>
    <w:link w:val="a6"/>
    <w:uiPriority w:val="99"/>
    <w:qFormat/>
    <w:rsid w:val="00123E46"/>
    <w:rPr>
      <w:sz w:val="18"/>
      <w:szCs w:val="18"/>
    </w:rPr>
  </w:style>
  <w:style w:type="character" w:customStyle="1" w:styleId="Char1">
    <w:name w:val="页脚 Char"/>
    <w:basedOn w:val="a0"/>
    <w:link w:val="a5"/>
    <w:uiPriority w:val="99"/>
    <w:qFormat/>
    <w:rsid w:val="00123E46"/>
    <w:rPr>
      <w:sz w:val="18"/>
      <w:szCs w:val="18"/>
    </w:rPr>
  </w:style>
  <w:style w:type="character" w:customStyle="1" w:styleId="Char0">
    <w:name w:val="批注框文本 Char"/>
    <w:basedOn w:val="a0"/>
    <w:link w:val="a4"/>
    <w:uiPriority w:val="99"/>
    <w:semiHidden/>
    <w:qFormat/>
    <w:rsid w:val="00123E46"/>
    <w:rPr>
      <w:sz w:val="18"/>
      <w:szCs w:val="18"/>
    </w:rPr>
  </w:style>
  <w:style w:type="paragraph" w:styleId="a9">
    <w:name w:val="List Paragraph"/>
    <w:basedOn w:val="a"/>
    <w:uiPriority w:val="34"/>
    <w:qFormat/>
    <w:rsid w:val="00123E46"/>
    <w:pPr>
      <w:ind w:firstLineChars="200" w:firstLine="420"/>
    </w:pPr>
  </w:style>
  <w:style w:type="paragraph" w:styleId="aa">
    <w:name w:val="No Spacing"/>
    <w:link w:val="Char4"/>
    <w:uiPriority w:val="1"/>
    <w:qFormat/>
    <w:rsid w:val="00123E46"/>
    <w:rPr>
      <w:sz w:val="22"/>
      <w:szCs w:val="22"/>
    </w:rPr>
  </w:style>
  <w:style w:type="character" w:customStyle="1" w:styleId="Char4">
    <w:name w:val="无间隔 Char"/>
    <w:basedOn w:val="a0"/>
    <w:link w:val="aa"/>
    <w:uiPriority w:val="1"/>
    <w:qFormat/>
    <w:rsid w:val="00123E46"/>
    <w:rPr>
      <w:kern w:val="0"/>
      <w:sz w:val="22"/>
    </w:rPr>
  </w:style>
  <w:style w:type="character" w:customStyle="1" w:styleId="Char">
    <w:name w:val="日期 Char"/>
    <w:basedOn w:val="a0"/>
    <w:link w:val="a3"/>
    <w:uiPriority w:val="99"/>
    <w:semiHidden/>
    <w:qFormat/>
    <w:rsid w:val="00123E46"/>
    <w:rPr>
      <w:kern w:val="2"/>
      <w:sz w:val="21"/>
      <w:szCs w:val="22"/>
    </w:rPr>
  </w:style>
  <w:style w:type="character" w:customStyle="1" w:styleId="Char3">
    <w:name w:val="脚注文本 Char"/>
    <w:basedOn w:val="a0"/>
    <w:link w:val="a7"/>
    <w:uiPriority w:val="99"/>
    <w:semiHidden/>
    <w:rsid w:val="00123E46"/>
    <w:rPr>
      <w:kern w:val="2"/>
      <w:sz w:val="18"/>
      <w:szCs w:val="18"/>
    </w:rPr>
  </w:style>
</w:styles>
</file>

<file path=word/webSettings.xml><?xml version="1.0" encoding="utf-8"?>
<w:webSettings xmlns:r="http://schemas.openxmlformats.org/officeDocument/2006/relationships" xmlns:w="http://schemas.openxmlformats.org/wordprocessingml/2006/main">
  <w:divs>
    <w:div w:id="685329508">
      <w:bodyDiv w:val="1"/>
      <w:marLeft w:val="0"/>
      <w:marRight w:val="0"/>
      <w:marTop w:val="0"/>
      <w:marBottom w:val="0"/>
      <w:divBdr>
        <w:top w:val="none" w:sz="0" w:space="0" w:color="auto"/>
        <w:left w:val="none" w:sz="0" w:space="0" w:color="auto"/>
        <w:bottom w:val="none" w:sz="0" w:space="0" w:color="auto"/>
        <w:right w:val="none" w:sz="0" w:space="0" w:color="auto"/>
      </w:divBdr>
    </w:div>
    <w:div w:id="905189237">
      <w:bodyDiv w:val="1"/>
      <w:marLeft w:val="0"/>
      <w:marRight w:val="0"/>
      <w:marTop w:val="0"/>
      <w:marBottom w:val="0"/>
      <w:divBdr>
        <w:top w:val="none" w:sz="0" w:space="0" w:color="auto"/>
        <w:left w:val="none" w:sz="0" w:space="0" w:color="auto"/>
        <w:bottom w:val="none" w:sz="0" w:space="0" w:color="auto"/>
        <w:right w:val="none" w:sz="0" w:space="0" w:color="auto"/>
      </w:divBdr>
    </w:div>
    <w:div w:id="1436949476">
      <w:bodyDiv w:val="1"/>
      <w:marLeft w:val="0"/>
      <w:marRight w:val="0"/>
      <w:marTop w:val="0"/>
      <w:marBottom w:val="0"/>
      <w:divBdr>
        <w:top w:val="none" w:sz="0" w:space="0" w:color="auto"/>
        <w:left w:val="none" w:sz="0" w:space="0" w:color="auto"/>
        <w:bottom w:val="none" w:sz="0" w:space="0" w:color="auto"/>
        <w:right w:val="none" w:sz="0" w:space="0" w:color="auto"/>
      </w:divBdr>
    </w:div>
    <w:div w:id="1561164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_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_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_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_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_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_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_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_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_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_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__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350808844623712"/>
          <c:y val="6.8617193019729794E-2"/>
          <c:w val="0.66681059332764803"/>
          <c:h val="0.82530804062513163"/>
        </c:manualLayout>
      </c:layout>
      <c:barChart>
        <c:barDir val="col"/>
        <c:grouping val="clustered"/>
        <c:ser>
          <c:idx val="0"/>
          <c:order val="0"/>
          <c:tx>
            <c:strRef>
              <c:f>Sheet1!$B$1</c:f>
              <c:strCache>
                <c:ptCount val="1"/>
                <c:pt idx="0">
                  <c:v>2017年上半年</c:v>
                </c:pt>
              </c:strCache>
            </c:strRef>
          </c:tx>
          <c:spPr>
            <a:solidFill>
              <a:schemeClr val="accent1"/>
            </a:solidFill>
            <a:ln>
              <a:noFill/>
            </a:ln>
            <a:effectLst/>
          </c:spPr>
          <c:dLbls>
            <c:dLbl>
              <c:idx val="0"/>
              <c:layout>
                <c:manualLayout>
                  <c:x val="2.1245715021670469E-17"/>
                  <c:y val="2.9094383592191304E-2"/>
                </c:manualLayout>
              </c:layout>
              <c:dLblPos val="outEnd"/>
              <c:showVal val="1"/>
              <c:extLst>
                <c:ext xmlns:c15="http://schemas.microsoft.com/office/drawing/2012/chart" uri="{CE6537A1-D6FC-4f65-9D91-7224C49458BB}">
                  <c15:layout/>
                </c:ext>
              </c:extLst>
            </c:dLbl>
            <c:dLbl>
              <c:idx val="1"/>
              <c:layout>
                <c:manualLayout>
                  <c:x val="-2.3118958692974205E-3"/>
                  <c:y val="1.9666424966976535E-2"/>
                </c:manualLayout>
              </c:layout>
              <c:dLblPos val="outEnd"/>
              <c:showVal val="1"/>
              <c:extLst>
                <c:ext xmlns:c15="http://schemas.microsoft.com/office/drawing/2012/chart" uri="{CE6537A1-D6FC-4f65-9D91-7224C49458BB}">
                  <c15:layout/>
                </c:ext>
              </c:extLst>
            </c:dLbl>
            <c:dLbl>
              <c:idx val="2"/>
              <c:layout>
                <c:manualLayout>
                  <c:x val="-2.3118958692974205E-3"/>
                  <c:y val="2.9020166150430998E-2"/>
                </c:manualLayout>
              </c:layout>
              <c:dLblPos val="outEnd"/>
              <c:showVal val="1"/>
              <c:extLst>
                <c:ext xmlns:c15="http://schemas.microsoft.com/office/drawing/2012/chart" uri="{CE6537A1-D6FC-4f65-9D91-7224C49458BB}">
                  <c15:layout/>
                </c:ext>
              </c:extLst>
            </c:dLbl>
            <c:dLbl>
              <c:idx val="3"/>
              <c:layout>
                <c:manualLayout>
                  <c:x val="0"/>
                  <c:y val="1.0312683783522099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spPr>
                    <a:ln w="9525" cap="flat" cmpd="sng" algn="ctr">
                      <a:solidFill>
                        <a:schemeClr val="tx1">
                          <a:shade val="95000"/>
                          <a:satMod val="105000"/>
                        </a:schemeClr>
                      </a:solidFill>
                      <a:prstDash val="solid"/>
                      <a:round/>
                    </a:ln>
                    <a:effectLst/>
                  </c:spPr>
                </c15:leaderLines>
              </c:ext>
            </c:extLst>
          </c:dLbls>
          <c:cat>
            <c:strRef>
              <c:f>Sheet1!$A$2:$A$5</c:f>
              <c:strCache>
                <c:ptCount val="4"/>
                <c:pt idx="0">
                  <c:v>旧存</c:v>
                </c:pt>
                <c:pt idx="1">
                  <c:v>新收</c:v>
                </c:pt>
                <c:pt idx="2">
                  <c:v>已结</c:v>
                </c:pt>
                <c:pt idx="3">
                  <c:v>未结</c:v>
                </c:pt>
              </c:strCache>
            </c:strRef>
          </c:cat>
          <c:val>
            <c:numRef>
              <c:f>Sheet1!$B$2:$B$5</c:f>
              <c:numCache>
                <c:formatCode>General</c:formatCode>
                <c:ptCount val="4"/>
                <c:pt idx="0">
                  <c:v>79</c:v>
                </c:pt>
                <c:pt idx="1">
                  <c:v>474</c:v>
                </c:pt>
                <c:pt idx="2">
                  <c:v>417</c:v>
                </c:pt>
                <c:pt idx="3">
                  <c:v>136</c:v>
                </c:pt>
              </c:numCache>
            </c:numRef>
          </c:val>
        </c:ser>
        <c:ser>
          <c:idx val="1"/>
          <c:order val="1"/>
          <c:tx>
            <c:strRef>
              <c:f>Sheet1!$C$1</c:f>
              <c:strCache>
                <c:ptCount val="1"/>
                <c:pt idx="0">
                  <c:v>2018年上半年</c:v>
                </c:pt>
              </c:strCache>
            </c:strRef>
          </c:tx>
          <c:spPr>
            <a:solidFill>
              <a:schemeClr val="accent2"/>
            </a:solidFill>
            <a:ln>
              <a:noFill/>
            </a:ln>
            <a:effectLst/>
          </c:spPr>
          <c:dLbls>
            <c:dLbl>
              <c:idx val="0"/>
              <c:layout>
                <c:manualLayout>
                  <c:x val="0"/>
                  <c:y val="2.9757156523658807E-2"/>
                </c:manualLayout>
              </c:layout>
              <c:dLblPos val="outEnd"/>
              <c:showVal val="1"/>
              <c:extLst>
                <c:ext xmlns:c15="http://schemas.microsoft.com/office/drawing/2012/chart" uri="{CE6537A1-D6FC-4f65-9D91-7224C49458BB}">
                  <c15:layout/>
                </c:ext>
              </c:extLst>
            </c:dLbl>
            <c:dLbl>
              <c:idx val="1"/>
              <c:layout>
                <c:manualLayout>
                  <c:x val="-2.3118958692974205E-3"/>
                  <c:y val="2.4343295558703855E-2"/>
                </c:manualLayout>
              </c:layout>
              <c:dLblPos val="outEnd"/>
              <c:showVal val="1"/>
              <c:extLst>
                <c:ext xmlns:c15="http://schemas.microsoft.com/office/drawing/2012/chart" uri="{CE6537A1-D6FC-4f65-9D91-7224C49458BB}">
                  <c15:layout/>
                </c:ext>
              </c:extLst>
            </c:dLbl>
            <c:dLbl>
              <c:idx val="2"/>
              <c:layout>
                <c:manualLayout>
                  <c:x val="0"/>
                  <c:y val="2.9020166150430998E-2"/>
                </c:manualLayout>
              </c:layout>
              <c:dLblPos val="outEnd"/>
              <c:showVal val="1"/>
              <c:extLst>
                <c:ext xmlns:c15="http://schemas.microsoft.com/office/drawing/2012/chart" uri="{CE6537A1-D6FC-4f65-9D91-7224C49458BB}">
                  <c15:layout/>
                </c:ext>
              </c:extLst>
            </c:dLbl>
            <c:dLbl>
              <c:idx val="3"/>
              <c:layout>
                <c:manualLayout>
                  <c:x val="0"/>
                  <c:y val="1.4989554375249303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spPr>
                    <a:ln w="9525" cap="flat" cmpd="sng" algn="ctr">
                      <a:solidFill>
                        <a:schemeClr val="tx1">
                          <a:shade val="95000"/>
                          <a:satMod val="105000"/>
                        </a:schemeClr>
                      </a:solidFill>
                      <a:prstDash val="solid"/>
                      <a:round/>
                    </a:ln>
                    <a:effectLst/>
                  </c:spPr>
                </c15:leaderLines>
              </c:ext>
            </c:extLst>
          </c:dLbls>
          <c:cat>
            <c:strRef>
              <c:f>Sheet1!$A$2:$A$5</c:f>
              <c:strCache>
                <c:ptCount val="4"/>
                <c:pt idx="0">
                  <c:v>旧存</c:v>
                </c:pt>
                <c:pt idx="1">
                  <c:v>新收</c:v>
                </c:pt>
                <c:pt idx="2">
                  <c:v>已结</c:v>
                </c:pt>
                <c:pt idx="3">
                  <c:v>未结</c:v>
                </c:pt>
              </c:strCache>
            </c:strRef>
          </c:cat>
          <c:val>
            <c:numRef>
              <c:f>Sheet1!$C$2:$C$5</c:f>
              <c:numCache>
                <c:formatCode>General</c:formatCode>
                <c:ptCount val="4"/>
                <c:pt idx="0">
                  <c:v>52</c:v>
                </c:pt>
                <c:pt idx="1">
                  <c:v>450</c:v>
                </c:pt>
                <c:pt idx="2">
                  <c:v>389</c:v>
                </c:pt>
                <c:pt idx="3">
                  <c:v>113</c:v>
                </c:pt>
              </c:numCache>
            </c:numRef>
          </c:val>
        </c:ser>
        <c:dLbls>
          <c:showVal val="1"/>
        </c:dLbls>
        <c:axId val="71511424"/>
        <c:axId val="101610624"/>
      </c:barChart>
      <c:catAx>
        <c:axId val="71511424"/>
        <c:scaling>
          <c:orientation val="minMax"/>
        </c:scaling>
        <c:axPos val="b"/>
        <c:tickLblPos val="nextTo"/>
        <c:spPr>
          <a:noFill/>
          <a:ln w="9525" cap="flat" cmpd="sng" algn="ctr">
            <a:solidFill>
              <a:schemeClr val="tx1">
                <a:tint val="75000"/>
                <a:shade val="95000"/>
                <a:satMod val="10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1610624"/>
        <c:crosses val="autoZero"/>
        <c:auto val="1"/>
        <c:lblAlgn val="ctr"/>
        <c:lblOffset val="100"/>
      </c:catAx>
      <c:valAx>
        <c:axId val="101610624"/>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no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1511424"/>
        <c:crosses val="autoZero"/>
        <c:crossBetween val="between"/>
      </c:valAx>
      <c:spPr>
        <a:solidFill>
          <a:schemeClr val="bg1"/>
        </a:solidFill>
        <a:ln>
          <a:noFill/>
        </a:ln>
        <a:effectLst/>
      </c:spPr>
    </c:plotArea>
    <c:legend>
      <c:legendPos val="r"/>
      <c:spPr>
        <a:noFill/>
        <a:ln>
          <a:noFill/>
        </a:ln>
        <a:effectLst/>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solidFill>
      <a:schemeClr val="bg1"/>
    </a:solidFill>
    <a:ln w="9525" cap="flat" cmpd="sng" algn="ctr">
      <a:noFill/>
      <a:prstDash val="solid"/>
      <a:round/>
    </a:ln>
    <a:effectLst/>
  </c:spPr>
  <c:txPr>
    <a:bodyPr/>
    <a:lstStyle/>
    <a:p>
      <a:pPr>
        <a:defRPr lang="zh-CN"/>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Sheet1!$B$1</c:f>
              <c:strCache>
                <c:ptCount val="1"/>
                <c:pt idx="0">
                  <c:v>新收案件</c:v>
                </c:pt>
              </c:strCache>
            </c:strRef>
          </c:tx>
          <c:marker>
            <c:symbol val="none"/>
          </c:marker>
          <c:dLbls>
            <c:dLbl>
              <c:idx val="5"/>
              <c:layout>
                <c:manualLayout>
                  <c:x val="-3.3447024036375408E-2"/>
                  <c:y val="-4.1283978500924155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t"/>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Sheet1!$B$2:$B$7</c:f>
              <c:numCache>
                <c:formatCode>General</c:formatCode>
                <c:ptCount val="6"/>
                <c:pt idx="0">
                  <c:v>61</c:v>
                </c:pt>
                <c:pt idx="1">
                  <c:v>53</c:v>
                </c:pt>
                <c:pt idx="2">
                  <c:v>42</c:v>
                </c:pt>
                <c:pt idx="3">
                  <c:v>61</c:v>
                </c:pt>
                <c:pt idx="4">
                  <c:v>76</c:v>
                </c:pt>
                <c:pt idx="5">
                  <c:v>42</c:v>
                </c:pt>
              </c:numCache>
            </c:numRef>
          </c:val>
        </c:ser>
        <c:ser>
          <c:idx val="1"/>
          <c:order val="1"/>
          <c:tx>
            <c:strRef>
              <c:f>Sheet1!$C$1</c:f>
              <c:strCache>
                <c:ptCount val="1"/>
                <c:pt idx="0">
                  <c:v>审结案件</c:v>
                </c:pt>
              </c:strCache>
            </c:strRef>
          </c:tx>
          <c:marker>
            <c:symbol val="none"/>
          </c:marker>
          <c:dLbls>
            <c:dLbl>
              <c:idx val="5"/>
              <c:layout>
                <c:manualLayout>
                  <c:x val="-3.6107885137121341E-2"/>
                  <c:y val="-8.0487255305650512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Sheet1!$C$2:$C$7</c:f>
              <c:numCache>
                <c:formatCode>General</c:formatCode>
                <c:ptCount val="6"/>
                <c:pt idx="0">
                  <c:v>32</c:v>
                </c:pt>
                <c:pt idx="1">
                  <c:v>53</c:v>
                </c:pt>
                <c:pt idx="2">
                  <c:v>37</c:v>
                </c:pt>
                <c:pt idx="3">
                  <c:v>56</c:v>
                </c:pt>
                <c:pt idx="4">
                  <c:v>63</c:v>
                </c:pt>
                <c:pt idx="5">
                  <c:v>55</c:v>
                </c:pt>
              </c:numCache>
            </c:numRef>
          </c:val>
        </c:ser>
        <c:dLbls>
          <c:showVal val="1"/>
        </c:dLbls>
        <c:marker val="1"/>
        <c:axId val="276029824"/>
        <c:axId val="276031360"/>
      </c:lineChart>
      <c:catAx>
        <c:axId val="276029824"/>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6031360"/>
        <c:crosses val="autoZero"/>
        <c:auto val="1"/>
        <c:lblAlgn val="ctr"/>
        <c:lblOffset val="100"/>
      </c:catAx>
      <c:valAx>
        <c:axId val="276031360"/>
        <c:scaling>
          <c:orientation val="minMax"/>
        </c:scaling>
        <c:axPos val="l"/>
        <c:majorGridlines/>
        <c:numFmt formatCode="General" sourceLinked="1"/>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602982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Sheet1!$B$1</c:f>
              <c:strCache>
                <c:ptCount val="1"/>
                <c:pt idx="0">
                  <c:v>新收案件</c:v>
                </c:pt>
              </c:strCache>
            </c:strRef>
          </c:tx>
          <c:marker>
            <c:symbol val="none"/>
          </c:marker>
          <c:dLbls>
            <c:dLbl>
              <c:idx val="2"/>
              <c:layout>
                <c:manualLayout>
                  <c:x val="-2.427120676337205E-2"/>
                  <c:y val="6.7950319609075868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t"/>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Sheet1!$B$2:$B$7</c:f>
              <c:numCache>
                <c:formatCode>General</c:formatCode>
                <c:ptCount val="6"/>
                <c:pt idx="0">
                  <c:v>15</c:v>
                </c:pt>
                <c:pt idx="1">
                  <c:v>9</c:v>
                </c:pt>
                <c:pt idx="2">
                  <c:v>2</c:v>
                </c:pt>
                <c:pt idx="3">
                  <c:v>5</c:v>
                </c:pt>
                <c:pt idx="4">
                  <c:v>8</c:v>
                </c:pt>
                <c:pt idx="5">
                  <c:v>2</c:v>
                </c:pt>
              </c:numCache>
            </c:numRef>
          </c:val>
        </c:ser>
        <c:ser>
          <c:idx val="1"/>
          <c:order val="1"/>
          <c:tx>
            <c:strRef>
              <c:f>Sheet1!$C$1</c:f>
              <c:strCache>
                <c:ptCount val="1"/>
                <c:pt idx="0">
                  <c:v>审结案件</c:v>
                </c:pt>
              </c:strCache>
            </c:strRef>
          </c:tx>
          <c:marker>
            <c:symbol val="none"/>
          </c:marker>
          <c:dLbls>
            <c:dLbl>
              <c:idx val="2"/>
              <c:layout>
                <c:manualLayout>
                  <c:x val="-2.6689852656854071E-2"/>
                  <c:y val="-7.9372960001871024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Sheet1!$C$2:$C$7</c:f>
              <c:numCache>
                <c:formatCode>General</c:formatCode>
                <c:ptCount val="6"/>
                <c:pt idx="0">
                  <c:v>8</c:v>
                </c:pt>
                <c:pt idx="1">
                  <c:v>6</c:v>
                </c:pt>
                <c:pt idx="2">
                  <c:v>3</c:v>
                </c:pt>
                <c:pt idx="3">
                  <c:v>10</c:v>
                </c:pt>
                <c:pt idx="4">
                  <c:v>5</c:v>
                </c:pt>
                <c:pt idx="5">
                  <c:v>2</c:v>
                </c:pt>
              </c:numCache>
            </c:numRef>
          </c:val>
        </c:ser>
        <c:dLbls>
          <c:showVal val="1"/>
        </c:dLbls>
        <c:marker val="1"/>
        <c:axId val="276126336"/>
        <c:axId val="276128128"/>
      </c:lineChart>
      <c:catAx>
        <c:axId val="27612633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6128128"/>
        <c:crosses val="autoZero"/>
        <c:auto val="1"/>
        <c:lblAlgn val="ctr"/>
        <c:lblOffset val="100"/>
      </c:catAx>
      <c:valAx>
        <c:axId val="27612812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612633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Sheet1!$B$1</c:f>
              <c:strCache>
                <c:ptCount val="1"/>
                <c:pt idx="0">
                  <c:v>新收案件</c:v>
                </c:pt>
              </c:strCache>
            </c:strRef>
          </c:tx>
          <c:marker>
            <c:symbol val="none"/>
          </c:marker>
          <c:dLbls>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solidFill>
                    <a:latin typeface="+mn-lt"/>
                    <a:ea typeface="+mn-ea"/>
                    <a:cs typeface="+mn-cs"/>
                  </a:defRPr>
                </a:pPr>
                <a:endParaRPr lang="zh-CN"/>
              </a:p>
            </c:txPr>
            <c:dLblPos val="t"/>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Sheet1!$B$2:$B$7</c:f>
              <c:numCache>
                <c:formatCode>General</c:formatCode>
                <c:ptCount val="6"/>
                <c:pt idx="0">
                  <c:v>5</c:v>
                </c:pt>
                <c:pt idx="1">
                  <c:v>5</c:v>
                </c:pt>
                <c:pt idx="2">
                  <c:v>11</c:v>
                </c:pt>
                <c:pt idx="3">
                  <c:v>6</c:v>
                </c:pt>
                <c:pt idx="4">
                  <c:v>7</c:v>
                </c:pt>
                <c:pt idx="5">
                  <c:v>6</c:v>
                </c:pt>
              </c:numCache>
            </c:numRef>
          </c:val>
        </c:ser>
        <c:ser>
          <c:idx val="1"/>
          <c:order val="1"/>
          <c:tx>
            <c:strRef>
              <c:f>Sheet1!$C$1</c:f>
              <c:strCache>
                <c:ptCount val="1"/>
                <c:pt idx="0">
                  <c:v>审结案件</c:v>
                </c:pt>
              </c:strCache>
            </c:strRef>
          </c:tx>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Sheet1!$C$2:$C$7</c:f>
              <c:numCache>
                <c:formatCode>General</c:formatCode>
                <c:ptCount val="6"/>
                <c:pt idx="0">
                  <c:v>2</c:v>
                </c:pt>
                <c:pt idx="1">
                  <c:v>3</c:v>
                </c:pt>
                <c:pt idx="2">
                  <c:v>3</c:v>
                </c:pt>
                <c:pt idx="3">
                  <c:v>10</c:v>
                </c:pt>
                <c:pt idx="4">
                  <c:v>7</c:v>
                </c:pt>
                <c:pt idx="5">
                  <c:v>10</c:v>
                </c:pt>
              </c:numCache>
            </c:numRef>
          </c:val>
        </c:ser>
        <c:dLbls>
          <c:showVal val="1"/>
        </c:dLbls>
        <c:marker val="1"/>
        <c:axId val="275989632"/>
        <c:axId val="275991168"/>
      </c:lineChart>
      <c:catAx>
        <c:axId val="27598963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5991168"/>
        <c:crosses val="autoZero"/>
        <c:auto val="1"/>
        <c:lblAlgn val="ctr"/>
        <c:lblOffset val="100"/>
      </c:catAx>
      <c:valAx>
        <c:axId val="27599116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5989632"/>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8348545443744606E-2"/>
          <c:y val="9.2603588485865515E-2"/>
          <c:w val="0.71427736563900102"/>
          <c:h val="0.74478595447666862"/>
        </c:manualLayout>
      </c:layout>
      <c:lineChart>
        <c:grouping val="standard"/>
        <c:ser>
          <c:idx val="0"/>
          <c:order val="0"/>
          <c:tx>
            <c:strRef>
              <c:f>Sheet1!$B$1</c:f>
              <c:strCache>
                <c:ptCount val="1"/>
                <c:pt idx="0">
                  <c:v>新收案件</c:v>
                </c:pt>
              </c:strCache>
            </c:strRef>
          </c:tx>
          <c:marker>
            <c:symbol val="none"/>
          </c:marker>
          <c:dLbls>
            <c:dLbl>
              <c:idx val="2"/>
              <c:layout>
                <c:manualLayout>
                  <c:x val="-3.8946579230773604E-2"/>
                  <c:y val="6.4240232233652217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t"/>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Sheet1!$B$2:$B$7</c:f>
              <c:numCache>
                <c:formatCode>General</c:formatCode>
                <c:ptCount val="6"/>
                <c:pt idx="0">
                  <c:v>9</c:v>
                </c:pt>
                <c:pt idx="1">
                  <c:v>25</c:v>
                </c:pt>
                <c:pt idx="2">
                  <c:v>10</c:v>
                </c:pt>
                <c:pt idx="3">
                  <c:v>5</c:v>
                </c:pt>
                <c:pt idx="4">
                  <c:v>13</c:v>
                </c:pt>
                <c:pt idx="5">
                  <c:v>11</c:v>
                </c:pt>
              </c:numCache>
            </c:numRef>
          </c:val>
        </c:ser>
        <c:ser>
          <c:idx val="1"/>
          <c:order val="1"/>
          <c:tx>
            <c:strRef>
              <c:f>Sheet1!$C$1</c:f>
              <c:strCache>
                <c:ptCount val="1"/>
                <c:pt idx="0">
                  <c:v>审结案件</c:v>
                </c:pt>
              </c:strCache>
            </c:strRef>
          </c:tx>
          <c:marker>
            <c:symbol val="none"/>
          </c:marker>
          <c:dLbls>
            <c:dLbl>
              <c:idx val="2"/>
              <c:layout>
                <c:manualLayout>
                  <c:x val="-2.4844015840028811E-2"/>
                  <c:y val="-7.603015621185101E-2"/>
                </c:manualLayout>
              </c:layout>
              <c:dLblPos val="r"/>
              <c:showVal val="1"/>
              <c:extLst>
                <c:ext xmlns:c15="http://schemas.microsoft.com/office/drawing/2012/chart" uri="{CE6537A1-D6FC-4f65-9D91-7224C49458BB}">
                  <c15:layout/>
                </c:ext>
              </c:extLst>
            </c:dLbl>
            <c:dLbl>
              <c:idx val="3"/>
              <c:layout>
                <c:manualLayout>
                  <c:x val="-3.6596151998982765E-2"/>
                  <c:y val="-7.0135194222751704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Sheet1!$C$2:$C$7</c:f>
              <c:numCache>
                <c:formatCode>General</c:formatCode>
                <c:ptCount val="6"/>
                <c:pt idx="0">
                  <c:v>8</c:v>
                </c:pt>
                <c:pt idx="1">
                  <c:v>21</c:v>
                </c:pt>
                <c:pt idx="2">
                  <c:v>12</c:v>
                </c:pt>
                <c:pt idx="3">
                  <c:v>12</c:v>
                </c:pt>
                <c:pt idx="4">
                  <c:v>6</c:v>
                </c:pt>
                <c:pt idx="5">
                  <c:v>5</c:v>
                </c:pt>
              </c:numCache>
            </c:numRef>
          </c:val>
        </c:ser>
        <c:dLbls>
          <c:showVal val="1"/>
        </c:dLbls>
        <c:marker val="1"/>
        <c:axId val="290082176"/>
        <c:axId val="276239488"/>
      </c:lineChart>
      <c:catAx>
        <c:axId val="29008217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6239488"/>
        <c:crosses val="autoZero"/>
        <c:auto val="1"/>
        <c:lblAlgn val="ctr"/>
        <c:lblOffset val="100"/>
      </c:catAx>
      <c:valAx>
        <c:axId val="27623948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9008217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Sheet1!$B$1</c:f>
              <c:strCache>
                <c:ptCount val="1"/>
                <c:pt idx="0">
                  <c:v>新收案件</c:v>
                </c:pt>
              </c:strCache>
            </c:strRef>
          </c:tx>
          <c:marker>
            <c:symbol val="none"/>
          </c:marker>
          <c:dLbls>
            <c:dLbl>
              <c:idx val="3"/>
              <c:layout>
                <c:manualLayout>
                  <c:x val="-1.4360313069901402E-2"/>
                  <c:y val="3.6562199127853814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r"/>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Sheet1!$B$2:$B$7</c:f>
              <c:numCache>
                <c:formatCode>General</c:formatCode>
                <c:ptCount val="6"/>
                <c:pt idx="0">
                  <c:v>3</c:v>
                </c:pt>
                <c:pt idx="1">
                  <c:v>4</c:v>
                </c:pt>
                <c:pt idx="2">
                  <c:v>4</c:v>
                </c:pt>
                <c:pt idx="3">
                  <c:v>6</c:v>
                </c:pt>
                <c:pt idx="4">
                  <c:v>18</c:v>
                </c:pt>
                <c:pt idx="5">
                  <c:v>8</c:v>
                </c:pt>
              </c:numCache>
            </c:numRef>
          </c:val>
        </c:ser>
        <c:ser>
          <c:idx val="1"/>
          <c:order val="1"/>
          <c:tx>
            <c:strRef>
              <c:f>Sheet1!$C$1</c:f>
              <c:strCache>
                <c:ptCount val="1"/>
                <c:pt idx="0">
                  <c:v>审结案件</c:v>
                </c:pt>
              </c:strCache>
            </c:strRef>
          </c:tx>
          <c:marker>
            <c:symbol val="none"/>
          </c:marker>
          <c:dLbls>
            <c:dLbl>
              <c:idx val="3"/>
              <c:layout>
                <c:manualLayout>
                  <c:x val="-2.6327240628152646E-2"/>
                  <c:y val="-3.133902782387489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r"/>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Sheet1!$C$2:$C$7</c:f>
              <c:numCache>
                <c:formatCode>General</c:formatCode>
                <c:ptCount val="6"/>
                <c:pt idx="0">
                  <c:v>2</c:v>
                </c:pt>
                <c:pt idx="1">
                  <c:v>4</c:v>
                </c:pt>
                <c:pt idx="2">
                  <c:v>4</c:v>
                </c:pt>
                <c:pt idx="3">
                  <c:v>7</c:v>
                </c:pt>
                <c:pt idx="4">
                  <c:v>14</c:v>
                </c:pt>
                <c:pt idx="5">
                  <c:v>9</c:v>
                </c:pt>
              </c:numCache>
            </c:numRef>
          </c:val>
        </c:ser>
        <c:dLbls>
          <c:showVal val="1"/>
        </c:dLbls>
        <c:marker val="1"/>
        <c:axId val="276256640"/>
        <c:axId val="276258176"/>
      </c:lineChart>
      <c:catAx>
        <c:axId val="27625664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6258176"/>
        <c:crosses val="autoZero"/>
        <c:auto val="1"/>
        <c:lblAlgn val="ctr"/>
        <c:lblOffset val="100"/>
      </c:catAx>
      <c:valAx>
        <c:axId val="27625817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625664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Sheet1!$B$1</c:f>
              <c:strCache>
                <c:ptCount val="1"/>
                <c:pt idx="0">
                  <c:v>新收案件</c:v>
                </c:pt>
              </c:strCache>
            </c:strRef>
          </c:tx>
          <c:marker>
            <c:symbol val="none"/>
          </c:marker>
          <c:dLbls>
            <c:dLbl>
              <c:idx val="1"/>
              <c:layout>
                <c:manualLayout>
                  <c:x val="-2.3586629807525877E-2"/>
                  <c:y val="7.143851728333811E-2"/>
                </c:manualLayout>
              </c:layout>
              <c:dLblPos val="r"/>
              <c:showVal val="1"/>
              <c:extLst>
                <c:ext xmlns:c15="http://schemas.microsoft.com/office/drawing/2012/chart" uri="{CE6537A1-D6FC-4f65-9D91-7224C49458BB}">
                  <c15:layout/>
                </c:ext>
              </c:extLst>
            </c:dLbl>
            <c:dLbl>
              <c:idx val="2"/>
              <c:layout>
                <c:manualLayout>
                  <c:x val="-2.01431613764472E-2"/>
                  <c:y val="7.8656366171135819E-2"/>
                </c:manualLayout>
              </c:layout>
              <c:dLblPos val="r"/>
              <c:showVal val="1"/>
              <c:extLst>
                <c:ext xmlns:c15="http://schemas.microsoft.com/office/drawing/2012/chart" uri="{CE6537A1-D6FC-4f65-9D91-7224C49458BB}">
                  <c15:layout/>
                </c:ext>
              </c:extLst>
            </c:dLbl>
            <c:dLbl>
              <c:idx val="4"/>
              <c:layout>
                <c:manualLayout>
                  <c:x val="-3.8946579230773604E-2"/>
                  <c:y val="8.5874215058933445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t"/>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Sheet1!$B$2:$B$7</c:f>
              <c:numCache>
                <c:formatCode>General</c:formatCode>
                <c:ptCount val="6"/>
                <c:pt idx="0">
                  <c:v>19</c:v>
                </c:pt>
                <c:pt idx="1">
                  <c:v>7</c:v>
                </c:pt>
                <c:pt idx="2">
                  <c:v>10</c:v>
                </c:pt>
                <c:pt idx="3">
                  <c:v>22</c:v>
                </c:pt>
                <c:pt idx="4">
                  <c:v>19</c:v>
                </c:pt>
                <c:pt idx="5">
                  <c:v>8</c:v>
                </c:pt>
              </c:numCache>
            </c:numRef>
          </c:val>
        </c:ser>
        <c:ser>
          <c:idx val="1"/>
          <c:order val="1"/>
          <c:tx>
            <c:strRef>
              <c:f>Sheet1!$C$1</c:f>
              <c:strCache>
                <c:ptCount val="1"/>
                <c:pt idx="0">
                  <c:v>审结案件</c:v>
                </c:pt>
              </c:strCache>
            </c:strRef>
          </c:tx>
          <c:marker>
            <c:symbol val="none"/>
          </c:marker>
          <c:dLbls>
            <c:dLbl>
              <c:idx val="1"/>
              <c:layout>
                <c:manualLayout>
                  <c:x val="-1.8885775343944443E-2"/>
                  <c:y val="-3.5349272844349779E-2"/>
                </c:manualLayout>
              </c:layout>
              <c:dLblPos val="r"/>
              <c:showVal val="1"/>
              <c:extLst>
                <c:ext xmlns:c15="http://schemas.microsoft.com/office/drawing/2012/chart" uri="{CE6537A1-D6FC-4f65-9D91-7224C49458BB}">
                  <c15:layout/>
                </c:ext>
              </c:extLst>
            </c:dLbl>
            <c:dLbl>
              <c:idx val="2"/>
              <c:layout>
                <c:manualLayout>
                  <c:x val="-2.9544870303610402E-2"/>
                  <c:y val="-7.8656366171135819E-2"/>
                </c:manualLayout>
              </c:layout>
              <c:dLblPos val="r"/>
              <c:showVal val="1"/>
              <c:extLst>
                <c:ext xmlns:c15="http://schemas.microsoft.com/office/drawing/2012/chart" uri="{CE6537A1-D6FC-4f65-9D91-7224C49458BB}">
                  <c15:layout/>
                </c:ext>
              </c:extLst>
            </c:dLbl>
            <c:dLbl>
              <c:idx val="4"/>
              <c:layout>
                <c:manualLayout>
                  <c:x val="-3.6596151998982765E-2"/>
                  <c:y val="-8.5874215058933445E-2"/>
                </c:manualLayout>
              </c:layout>
              <c:dLblPos val="r"/>
              <c:showVal val="1"/>
              <c:extLst>
                <c:ext xmlns:c15="http://schemas.microsoft.com/office/drawing/2012/chart" uri="{CE6537A1-D6FC-4f65-9D91-7224C49458BB}">
                  <c15:layout/>
                </c:ext>
              </c:extLst>
            </c:dLbl>
            <c:dLbl>
              <c:idx val="5"/>
              <c:layout>
                <c:manualLayout>
                  <c:x val="-2.249358860823801E-2"/>
                  <c:y val="-5.7002819507742823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Sheet1!$C$2:$C$7</c:f>
              <c:numCache>
                <c:formatCode>General</c:formatCode>
                <c:ptCount val="6"/>
                <c:pt idx="0">
                  <c:v>9</c:v>
                </c:pt>
                <c:pt idx="1">
                  <c:v>9</c:v>
                </c:pt>
                <c:pt idx="2">
                  <c:v>11</c:v>
                </c:pt>
                <c:pt idx="3">
                  <c:v>14</c:v>
                </c:pt>
                <c:pt idx="4">
                  <c:v>20</c:v>
                </c:pt>
                <c:pt idx="5">
                  <c:v>13</c:v>
                </c:pt>
              </c:numCache>
            </c:numRef>
          </c:val>
        </c:ser>
        <c:dLbls>
          <c:showVal val="1"/>
        </c:dLbls>
        <c:marker val="1"/>
        <c:axId val="276341120"/>
        <c:axId val="276342656"/>
      </c:lineChart>
      <c:catAx>
        <c:axId val="27634112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6342656"/>
        <c:crosses val="autoZero"/>
        <c:auto val="1"/>
        <c:lblAlgn val="ctr"/>
        <c:lblOffset val="100"/>
      </c:catAx>
      <c:valAx>
        <c:axId val="27634265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634112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6.3451029653161489E-2"/>
          <c:y val="4.9909226137807024E-2"/>
          <c:w val="0.75994172075114663"/>
          <c:h val="0.81698943802033663"/>
        </c:manualLayout>
      </c:layout>
      <c:lineChart>
        <c:grouping val="standard"/>
        <c:ser>
          <c:idx val="0"/>
          <c:order val="0"/>
          <c:tx>
            <c:strRef>
              <c:f>Sheet1!$B$1</c:f>
              <c:strCache>
                <c:ptCount val="1"/>
                <c:pt idx="0">
                  <c:v>新收案件</c:v>
                </c:pt>
              </c:strCache>
            </c:strRef>
          </c:tx>
          <c:marker>
            <c:symbol val="none"/>
          </c:marker>
          <c:dLbls>
            <c:dLbl>
              <c:idx val="2"/>
              <c:layout>
                <c:manualLayout>
                  <c:x val="-2.736318247170564E-2"/>
                  <c:y val="-7.4969035695349892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r"/>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Sheet1!$B$2:$B$7</c:f>
              <c:numCache>
                <c:formatCode>General</c:formatCode>
                <c:ptCount val="6"/>
                <c:pt idx="0">
                  <c:v>10</c:v>
                </c:pt>
                <c:pt idx="1">
                  <c:v>3</c:v>
                </c:pt>
                <c:pt idx="2">
                  <c:v>5</c:v>
                </c:pt>
                <c:pt idx="3">
                  <c:v>17</c:v>
                </c:pt>
                <c:pt idx="4">
                  <c:v>11</c:v>
                </c:pt>
                <c:pt idx="5">
                  <c:v>7</c:v>
                </c:pt>
              </c:numCache>
            </c:numRef>
          </c:val>
        </c:ser>
        <c:ser>
          <c:idx val="1"/>
          <c:order val="1"/>
          <c:tx>
            <c:strRef>
              <c:f>Sheet1!$C$1</c:f>
              <c:strCache>
                <c:ptCount val="1"/>
                <c:pt idx="0">
                  <c:v>审结案件</c:v>
                </c:pt>
              </c:strCache>
            </c:strRef>
          </c:tx>
          <c:marker>
            <c:symbol val="none"/>
          </c:marker>
          <c:dLbls>
            <c:dLbl>
              <c:idx val="2"/>
              <c:layout>
                <c:manualLayout>
                  <c:x val="-3.8308670918517418E-2"/>
                  <c:y val="5.4522398408102024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r"/>
            <c:showVal val="1"/>
            <c:extLst>
              <c:ext xmlns:c15="http://schemas.microsoft.com/office/drawing/2012/chart" uri="{CE6537A1-D6FC-4f65-9D91-7224C49458BB}">
                <c15:layout/>
                <c15:showLeaderLines val="0"/>
                <c15:leaderLines/>
              </c:ext>
            </c:extLst>
          </c:dLbls>
          <c:cat>
            <c:strRef>
              <c:f>Sheet1!$A$2:$A$7</c:f>
              <c:strCache>
                <c:ptCount val="6"/>
                <c:pt idx="0">
                  <c:v>1月</c:v>
                </c:pt>
                <c:pt idx="1">
                  <c:v>2月</c:v>
                </c:pt>
                <c:pt idx="2">
                  <c:v>3月</c:v>
                </c:pt>
                <c:pt idx="3">
                  <c:v>4月</c:v>
                </c:pt>
                <c:pt idx="4">
                  <c:v>5月</c:v>
                </c:pt>
                <c:pt idx="5">
                  <c:v>6月</c:v>
                </c:pt>
              </c:strCache>
            </c:strRef>
          </c:cat>
          <c:val>
            <c:numRef>
              <c:f>Sheet1!$C$2:$C$7</c:f>
              <c:numCache>
                <c:formatCode>General</c:formatCode>
                <c:ptCount val="6"/>
                <c:pt idx="0">
                  <c:v>3</c:v>
                </c:pt>
                <c:pt idx="1">
                  <c:v>10</c:v>
                </c:pt>
                <c:pt idx="2">
                  <c:v>4</c:v>
                </c:pt>
                <c:pt idx="3">
                  <c:v>3</c:v>
                </c:pt>
                <c:pt idx="4">
                  <c:v>11</c:v>
                </c:pt>
                <c:pt idx="5">
                  <c:v>16</c:v>
                </c:pt>
              </c:numCache>
            </c:numRef>
          </c:val>
        </c:ser>
        <c:dLbls>
          <c:showVal val="1"/>
        </c:dLbls>
        <c:marker val="1"/>
        <c:axId val="276654720"/>
        <c:axId val="276664704"/>
      </c:lineChart>
      <c:catAx>
        <c:axId val="27665472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6664704"/>
        <c:crosses val="autoZero"/>
        <c:auto val="1"/>
        <c:lblAlgn val="ctr"/>
        <c:lblOffset val="100"/>
      </c:catAx>
      <c:valAx>
        <c:axId val="276664704"/>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665472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各院未结案件占两级法院比例情况</c:v>
                </c:pt>
              </c:strCache>
            </c:strRef>
          </c:tx>
          <c:dLbls>
            <c:dLbl>
              <c:idx val="0"/>
              <c:layout>
                <c:manualLayout>
                  <c:x val="1.5479983868810304E-2"/>
                  <c:y val="4.2286292226106338E-2"/>
                </c:manualLayout>
              </c:layout>
              <c:tx>
                <c:rich>
                  <a:bodyPr/>
                  <a:lstStyle/>
                  <a:p>
                    <a:r>
                      <a:rPr lang="zh-CN" altLang="en-US"/>
                      <a:t>红石院</a:t>
                    </a:r>
                    <a:endParaRPr lang="en-US" altLang="zh-CN"/>
                  </a:p>
                  <a:p>
                    <a:r>
                      <a:rPr lang="zh-CN" altLang="en-US"/>
                      <a:t> </a:t>
                    </a:r>
                    <a:r>
                      <a:rPr lang="en-US" altLang="zh-CN"/>
                      <a:t>33.78%</a:t>
                    </a:r>
                    <a:endParaRPr lang="zh-CN" altLang="en-US"/>
                  </a:p>
                </c:rich>
              </c:tx>
              <c:dLblPos val="bestFit"/>
              <c:showVal val="1"/>
              <c:showCatName val="1"/>
              <c:separator> </c:separator>
              <c:extLst>
                <c:ext xmlns:c15="http://schemas.microsoft.com/office/drawing/2012/chart" uri="{CE6537A1-D6FC-4f65-9D91-7224C49458BB}">
                  <c15:layout/>
                </c:ext>
              </c:extLst>
            </c:dLbl>
            <c:dLbl>
              <c:idx val="1"/>
              <c:layout>
                <c:manualLayout>
                  <c:x val="-1.1795382616903622E-2"/>
                  <c:y val="-1.0642070384352827E-2"/>
                </c:manualLayout>
              </c:layout>
              <c:tx>
                <c:rich>
                  <a:bodyPr/>
                  <a:lstStyle/>
                  <a:p>
                    <a:r>
                      <a:rPr lang="zh-CN" altLang="en-US"/>
                      <a:t>白石山院</a:t>
                    </a:r>
                    <a:endParaRPr lang="en-US" altLang="zh-CN"/>
                  </a:p>
                  <a:p>
                    <a:r>
                      <a:rPr lang="zh-CN" altLang="en-US"/>
                      <a:t> </a:t>
                    </a:r>
                    <a:r>
                      <a:rPr lang="en-US" altLang="zh-CN"/>
                      <a:t>12.16%</a:t>
                    </a:r>
                    <a:endParaRPr lang="zh-CN" altLang="en-US"/>
                  </a:p>
                </c:rich>
              </c:tx>
              <c:dLblPos val="bestFit"/>
              <c:showVal val="1"/>
              <c:showCatName val="1"/>
              <c:separator> </c:separator>
              <c:extLst>
                <c:ext xmlns:c15="http://schemas.microsoft.com/office/drawing/2012/chart" uri="{CE6537A1-D6FC-4f65-9D91-7224C49458BB}">
                  <c15:layout/>
                </c:ext>
              </c:extLst>
            </c:dLbl>
            <c:dLbl>
              <c:idx val="2"/>
              <c:layout>
                <c:manualLayout>
                  <c:x val="-7.7730411936192643E-3"/>
                  <c:y val="0"/>
                </c:manualLayout>
              </c:layout>
              <c:tx>
                <c:rich>
                  <a:bodyPr/>
                  <a:lstStyle/>
                  <a:p>
                    <a:r>
                      <a:rPr lang="zh-CN" altLang="en-US"/>
                      <a:t>中院 </a:t>
                    </a:r>
                    <a:endParaRPr lang="en-US" altLang="zh-CN"/>
                  </a:p>
                  <a:p>
                    <a:r>
                      <a:rPr lang="en-US" altLang="zh-CN"/>
                      <a:t>13.51%</a:t>
                    </a:r>
                    <a:endParaRPr lang="zh-CN" altLang="en-US"/>
                  </a:p>
                </c:rich>
              </c:tx>
              <c:dLblPos val="bestFit"/>
              <c:showVal val="1"/>
              <c:showCatName val="1"/>
              <c:separator> </c:separator>
              <c:extLst>
                <c:ext xmlns:c15="http://schemas.microsoft.com/office/drawing/2012/chart" uri="{CE6537A1-D6FC-4f65-9D91-7224C49458BB}">
                  <c15:layout/>
                </c:ext>
              </c:extLst>
            </c:dLbl>
            <c:dLbl>
              <c:idx val="3"/>
              <c:layout>
                <c:manualLayout>
                  <c:x val="-4.1095745248766807E-3"/>
                  <c:y val="1.4829320253333118E-2"/>
                </c:manualLayout>
              </c:layout>
              <c:tx>
                <c:rich>
                  <a:bodyPr/>
                  <a:lstStyle/>
                  <a:p>
                    <a:r>
                      <a:rPr lang="zh-CN" altLang="en-US"/>
                      <a:t>抚松院</a:t>
                    </a:r>
                    <a:endParaRPr lang="en-US" altLang="zh-CN"/>
                  </a:p>
                  <a:p>
                    <a:r>
                      <a:rPr lang="zh-CN" altLang="en-US"/>
                      <a:t> </a:t>
                    </a:r>
                    <a:r>
                      <a:rPr lang="en-US" altLang="zh-CN"/>
                      <a:t>17.57%</a:t>
                    </a:r>
                    <a:endParaRPr lang="zh-CN" altLang="en-US"/>
                  </a:p>
                </c:rich>
              </c:tx>
              <c:dLblPos val="bestFit"/>
              <c:showVal val="1"/>
              <c:showCatName val="1"/>
              <c:separator> </c:separator>
              <c:extLst>
                <c:ext xmlns:c15="http://schemas.microsoft.com/office/drawing/2012/chart" uri="{CE6537A1-D6FC-4f65-9D91-7224C49458BB}">
                  <c15:layout/>
                </c:ext>
              </c:extLst>
            </c:dLbl>
            <c:dLbl>
              <c:idx val="4"/>
              <c:layout>
                <c:manualLayout>
                  <c:x val="-2.0381322289693374E-2"/>
                  <c:y val="3.0323344389274854E-2"/>
                </c:manualLayout>
              </c:layout>
              <c:tx>
                <c:rich>
                  <a:bodyPr/>
                  <a:lstStyle/>
                  <a:p>
                    <a:r>
                      <a:rPr lang="zh-CN" altLang="en-US"/>
                      <a:t>临江院</a:t>
                    </a:r>
                    <a:endParaRPr lang="en-US" altLang="zh-CN"/>
                  </a:p>
                  <a:p>
                    <a:r>
                      <a:rPr lang="zh-CN" altLang="en-US"/>
                      <a:t> </a:t>
                    </a:r>
                    <a:r>
                      <a:rPr lang="en-US" altLang="zh-CN"/>
                      <a:t>10.81%</a:t>
                    </a:r>
                    <a:endParaRPr lang="zh-CN" altLang="en-US"/>
                  </a:p>
                </c:rich>
              </c:tx>
              <c:dLblPos val="bestFit"/>
              <c:showVal val="1"/>
              <c:showCatName val="1"/>
              <c:separator> </c:separator>
              <c:extLst>
                <c:ext xmlns:c15="http://schemas.microsoft.com/office/drawing/2012/chart" uri="{CE6537A1-D6FC-4f65-9D91-7224C49458BB}">
                  <c15:layout/>
                </c:ext>
              </c:extLst>
            </c:dLbl>
            <c:dLbl>
              <c:idx val="5"/>
              <c:layout>
                <c:manualLayout>
                  <c:x val="8.8665559930029628E-3"/>
                  <c:y val="1.4233959672390302E-3"/>
                </c:manualLayout>
              </c:layout>
              <c:tx>
                <c:rich>
                  <a:bodyPr/>
                  <a:lstStyle/>
                  <a:p>
                    <a:r>
                      <a:rPr lang="zh-CN" altLang="en-US"/>
                      <a:t>江源院</a:t>
                    </a:r>
                    <a:endParaRPr lang="en-US" altLang="zh-CN"/>
                  </a:p>
                  <a:p>
                    <a:r>
                      <a:rPr lang="zh-CN" altLang="en-US"/>
                      <a:t> </a:t>
                    </a:r>
                    <a:r>
                      <a:rPr lang="en-US" altLang="zh-CN"/>
                      <a:t>12.16%</a:t>
                    </a:r>
                    <a:endParaRPr lang="zh-CN" altLang="en-US"/>
                  </a:p>
                </c:rich>
              </c:tx>
              <c:dLblPos val="bestFit"/>
              <c:showVal val="1"/>
              <c:showCatName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eparator> </c:separator>
            <c:extLst>
              <c:ext xmlns:c15="http://schemas.microsoft.com/office/drawing/2012/chart" uri="{CE6537A1-D6FC-4f65-9D91-7224C49458BB}">
                <c15:layout/>
                <c15:showLeaderLines val="1"/>
                <c15:leaderLines/>
              </c:ext>
            </c:extLst>
          </c:dLbls>
          <c:cat>
            <c:strRef>
              <c:f>Sheet1!$A$2:$A$7</c:f>
              <c:strCache>
                <c:ptCount val="6"/>
                <c:pt idx="0">
                  <c:v>红石院</c:v>
                </c:pt>
                <c:pt idx="1">
                  <c:v>白石山院</c:v>
                </c:pt>
                <c:pt idx="2">
                  <c:v>中院</c:v>
                </c:pt>
                <c:pt idx="3">
                  <c:v>抚松院</c:v>
                </c:pt>
                <c:pt idx="4">
                  <c:v>临江院</c:v>
                </c:pt>
                <c:pt idx="5">
                  <c:v>江源院</c:v>
                </c:pt>
              </c:strCache>
            </c:strRef>
          </c:cat>
          <c:val>
            <c:numRef>
              <c:f>Sheet1!$B$2:$B$7</c:f>
              <c:numCache>
                <c:formatCode>0.00%</c:formatCode>
                <c:ptCount val="6"/>
                <c:pt idx="0">
                  <c:v>0.33780000000000188</c:v>
                </c:pt>
                <c:pt idx="1">
                  <c:v>0.12160000000000012</c:v>
                </c:pt>
                <c:pt idx="2">
                  <c:v>0.1351</c:v>
                </c:pt>
                <c:pt idx="3">
                  <c:v>0.17570000000000024</c:v>
                </c:pt>
                <c:pt idx="4">
                  <c:v>0.10810000000000013</c:v>
                </c:pt>
                <c:pt idx="5">
                  <c:v>0.12160000000000012</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ln w="9525" cap="flat" cmpd="sng" algn="ctr">
      <a:noFill/>
      <a:prstDash val="solid"/>
      <a:round/>
    </a:ln>
  </c:spPr>
  <c:txPr>
    <a:bodyPr/>
    <a:lstStyle/>
    <a:p>
      <a:pPr>
        <a:defRPr lang="zh-CN"/>
      </a:pPr>
      <a:endParaRPr lang="zh-CN"/>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clustered"/>
        <c:ser>
          <c:idx val="0"/>
          <c:order val="0"/>
          <c:tx>
            <c:strRef>
              <c:f>Sheet1!$B$1</c:f>
              <c:strCache>
                <c:ptCount val="1"/>
                <c:pt idx="0">
                  <c:v>2017年上半年未结案件</c:v>
                </c:pt>
              </c:strCache>
            </c:strRef>
          </c:tx>
          <c:dLbls>
            <c:dLbl>
              <c:idx val="0"/>
              <c:layout>
                <c:manualLayout>
                  <c:x val="-9.909909558419909E-3"/>
                  <c:y val="1.1422635255918842E-2"/>
                </c:manualLayout>
              </c:layout>
              <c:dLblPos val="outEnd"/>
              <c:showVal val="1"/>
              <c:extLst>
                <c:ext xmlns:c15="http://schemas.microsoft.com/office/drawing/2012/chart" uri="{CE6537A1-D6FC-4f65-9D91-7224C49458BB}">
                  <c15:layout/>
                </c:ext>
              </c:extLst>
            </c:dLbl>
            <c:dLbl>
              <c:idx val="1"/>
              <c:layout>
                <c:manualLayout>
                  <c:x val="-4.9549547792099346E-3"/>
                  <c:y val="0"/>
                </c:manualLayout>
              </c:layout>
              <c:dLblPos val="outEnd"/>
              <c:showVal val="1"/>
              <c:extLst>
                <c:ext xmlns:c15="http://schemas.microsoft.com/office/drawing/2012/chart" uri="{CE6537A1-D6FC-4f65-9D91-7224C49458BB}">
                  <c15:layout/>
                </c:ext>
              </c:extLst>
            </c:dLbl>
            <c:dLbl>
              <c:idx val="3"/>
              <c:layout>
                <c:manualLayout>
                  <c:x val="-4.9549547792099346E-3"/>
                  <c:y val="0"/>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Sheet1!$A$2:$A$7</c:f>
              <c:strCache>
                <c:ptCount val="6"/>
                <c:pt idx="0">
                  <c:v>中院</c:v>
                </c:pt>
                <c:pt idx="1">
                  <c:v>江源院</c:v>
                </c:pt>
                <c:pt idx="2">
                  <c:v>临江院</c:v>
                </c:pt>
                <c:pt idx="3">
                  <c:v>抚松院</c:v>
                </c:pt>
                <c:pt idx="4">
                  <c:v>白石山院</c:v>
                </c:pt>
                <c:pt idx="5">
                  <c:v>红石院</c:v>
                </c:pt>
              </c:strCache>
            </c:strRef>
          </c:cat>
          <c:val>
            <c:numRef>
              <c:f>Sheet1!$B$2:$B$7</c:f>
              <c:numCache>
                <c:formatCode>General</c:formatCode>
                <c:ptCount val="6"/>
                <c:pt idx="0">
                  <c:v>11</c:v>
                </c:pt>
                <c:pt idx="1">
                  <c:v>10</c:v>
                </c:pt>
                <c:pt idx="2">
                  <c:v>6</c:v>
                </c:pt>
                <c:pt idx="3">
                  <c:v>23</c:v>
                </c:pt>
                <c:pt idx="4">
                  <c:v>12</c:v>
                </c:pt>
                <c:pt idx="5">
                  <c:v>22</c:v>
                </c:pt>
              </c:numCache>
            </c:numRef>
          </c:val>
        </c:ser>
        <c:ser>
          <c:idx val="1"/>
          <c:order val="1"/>
          <c:tx>
            <c:strRef>
              <c:f>Sheet1!$C$1</c:f>
              <c:strCache>
                <c:ptCount val="1"/>
                <c:pt idx="0">
                  <c:v>2018年上半年未结案件</c:v>
                </c:pt>
              </c:strCache>
            </c:strRef>
          </c:tx>
          <c:dLbls>
            <c:dLbl>
              <c:idx val="1"/>
              <c:layout>
                <c:manualLayout>
                  <c:x val="-9.9099095584199732E-3"/>
                  <c:y val="0"/>
                </c:manualLayout>
              </c:layout>
              <c:dLblPos val="outEnd"/>
              <c:showVal val="1"/>
              <c:extLst>
                <c:ext xmlns:c15="http://schemas.microsoft.com/office/drawing/2012/chart" uri="{CE6537A1-D6FC-4f65-9D91-7224C49458BB}">
                  <c15:layout/>
                </c:ext>
              </c:extLst>
            </c:dLbl>
            <c:dLbl>
              <c:idx val="3"/>
              <c:layout>
                <c:manualLayout>
                  <c:x val="-4.9549547792099346E-3"/>
                  <c:y val="-1.7133952883878104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Sheet1!$A$2:$A$7</c:f>
              <c:strCache>
                <c:ptCount val="6"/>
                <c:pt idx="0">
                  <c:v>中院</c:v>
                </c:pt>
                <c:pt idx="1">
                  <c:v>江源院</c:v>
                </c:pt>
                <c:pt idx="2">
                  <c:v>临江院</c:v>
                </c:pt>
                <c:pt idx="3">
                  <c:v>抚松院</c:v>
                </c:pt>
                <c:pt idx="4">
                  <c:v>白石山院</c:v>
                </c:pt>
                <c:pt idx="5">
                  <c:v>红石院</c:v>
                </c:pt>
              </c:strCache>
            </c:strRef>
          </c:cat>
          <c:val>
            <c:numRef>
              <c:f>Sheet1!$C$2:$C$7</c:f>
              <c:numCache>
                <c:formatCode>General</c:formatCode>
                <c:ptCount val="6"/>
                <c:pt idx="0">
                  <c:v>10</c:v>
                </c:pt>
                <c:pt idx="1">
                  <c:v>9</c:v>
                </c:pt>
                <c:pt idx="2">
                  <c:v>8</c:v>
                </c:pt>
                <c:pt idx="3">
                  <c:v>13</c:v>
                </c:pt>
                <c:pt idx="4">
                  <c:v>9</c:v>
                </c:pt>
                <c:pt idx="5">
                  <c:v>25</c:v>
                </c:pt>
              </c:numCache>
            </c:numRef>
          </c:val>
        </c:ser>
        <c:dLbls>
          <c:showVal val="1"/>
        </c:dLbls>
        <c:axId val="290355840"/>
        <c:axId val="290423168"/>
      </c:barChart>
      <c:catAx>
        <c:axId val="290355840"/>
        <c:scaling>
          <c:orientation val="minMax"/>
        </c:scaling>
        <c:axPos val="l"/>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90423168"/>
        <c:crosses val="autoZero"/>
        <c:auto val="1"/>
        <c:lblAlgn val="ctr"/>
        <c:lblOffset val="100"/>
      </c:catAx>
      <c:valAx>
        <c:axId val="290423168"/>
        <c:scaling>
          <c:orientation val="minMax"/>
        </c:scaling>
        <c:axPos val="b"/>
        <c:majorGridlines/>
        <c:numFmt formatCode="General" sourceLinked="1"/>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9035584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首次执行案件结案比例情况</c:v>
                </c:pt>
              </c:strCache>
            </c:strRef>
          </c:tx>
          <c:dLbls>
            <c:dLbl>
              <c:idx val="0"/>
              <c:layout>
                <c:manualLayout>
                  <c:x val="-1.0371012945415699E-2"/>
                  <c:y val="-0.315861672915563"/>
                </c:manualLayout>
              </c:layout>
              <c:dLblPos val="bestFit"/>
              <c:showVal val="1"/>
              <c:showCatName val="1"/>
              <c:separator> </c:separator>
              <c:extLst>
                <c:ext xmlns:c15="http://schemas.microsoft.com/office/drawing/2012/chart" uri="{CE6537A1-D6FC-4f65-9D91-7224C49458BB}">
                  <c15:layout/>
                </c:ext>
              </c:extLst>
            </c:dLbl>
            <c:dLbl>
              <c:idx val="2"/>
              <c:layout>
                <c:manualLayout>
                  <c:x val="-1.7568953245251109E-2"/>
                  <c:y val="3.6270274065210065E-2"/>
                </c:manualLayout>
              </c:layout>
              <c:dLblPos val="bestFit"/>
              <c:showVal val="1"/>
              <c:showCatName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eparator> </c:separator>
            <c:extLst>
              <c:ext xmlns:c15="http://schemas.microsoft.com/office/drawing/2012/chart" uri="{CE6537A1-D6FC-4f65-9D91-7224C49458BB}">
                <c15:layout/>
                <c15:showLeaderLines val="1"/>
                <c15:leaderLines/>
              </c:ext>
            </c:extLst>
          </c:dLbls>
          <c:cat>
            <c:strRef>
              <c:f>Sheet1!$A$2:$A$4</c:f>
              <c:strCache>
                <c:ptCount val="3"/>
                <c:pt idx="0">
                  <c:v>实际执结案件</c:v>
                </c:pt>
                <c:pt idx="1">
                  <c:v>终本案件</c:v>
                </c:pt>
                <c:pt idx="2">
                  <c:v>未结案件</c:v>
                </c:pt>
              </c:strCache>
            </c:strRef>
          </c:cat>
          <c:val>
            <c:numRef>
              <c:f>Sheet1!$B$2:$B$4</c:f>
              <c:numCache>
                <c:formatCode>0.00%</c:formatCode>
                <c:ptCount val="3"/>
                <c:pt idx="0">
                  <c:v>0.56100000000000005</c:v>
                </c:pt>
                <c:pt idx="1">
                  <c:v>0.10980000000000002</c:v>
                </c:pt>
                <c:pt idx="2">
                  <c:v>0.32930000000000176</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ln w="9525" cap="flat" cmpd="sng" algn="ctr">
      <a:noFill/>
      <a:prstDash val="solid"/>
      <a:round/>
    </a:ln>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470943118626012"/>
          <c:y val="6.6470669494486587E-2"/>
          <c:w val="0.66349550936520862"/>
          <c:h val="0.81680765136556699"/>
        </c:manualLayout>
      </c:layout>
      <c:barChart>
        <c:barDir val="col"/>
        <c:grouping val="clustered"/>
        <c:ser>
          <c:idx val="0"/>
          <c:order val="0"/>
          <c:tx>
            <c:strRef>
              <c:f>Sheet1!$B$1</c:f>
              <c:strCache>
                <c:ptCount val="1"/>
                <c:pt idx="0">
                  <c:v>2017年上半年</c:v>
                </c:pt>
              </c:strCache>
            </c:strRef>
          </c:tx>
          <c:dLbls>
            <c:dLbl>
              <c:idx val="0"/>
              <c:layout>
                <c:manualLayout>
                  <c:x val="-2.474885389907771E-3"/>
                  <c:y val="9.4965685001884318E-4"/>
                </c:manualLayout>
              </c:layout>
              <c:dLblPos val="outEnd"/>
              <c:showVal val="1"/>
              <c:extLst>
                <c:ext xmlns:c15="http://schemas.microsoft.com/office/drawing/2012/chart" uri="{CE6537A1-D6FC-4f65-9D91-7224C49458BB}">
                  <c15:layout/>
                </c:ext>
              </c:extLst>
            </c:dLbl>
            <c:dLbl>
              <c:idx val="1"/>
              <c:layout>
                <c:manualLayout>
                  <c:x val="-4.941599630819732E-3"/>
                  <c:y val="-8.6145553334777206E-3"/>
                </c:manualLayout>
              </c:layout>
              <c:dLblPos val="outEnd"/>
              <c:showVal val="1"/>
              <c:extLst>
                <c:ext xmlns:c15="http://schemas.microsoft.com/office/drawing/2012/chart" uri="{CE6537A1-D6FC-4f65-9D91-7224C49458BB}">
                  <c15:layout/>
                </c:ext>
              </c:extLst>
            </c:dLbl>
            <c:dLbl>
              <c:idx val="2"/>
              <c:layout>
                <c:manualLayout>
                  <c:x val="0"/>
                  <c:y val="2.0181247281498761E-2"/>
                </c:manualLayout>
              </c:layout>
              <c:dLblPos val="outEnd"/>
              <c:showVal val="1"/>
              <c:extLst>
                <c:ext xmlns:c15="http://schemas.microsoft.com/office/drawing/2012/chart" uri="{CE6537A1-D6FC-4f65-9D91-7224C49458BB}">
                  <c15:layout/>
                </c:ext>
              </c:extLst>
            </c:dLbl>
            <c:dLbl>
              <c:idx val="3"/>
              <c:layout>
                <c:manualLayout>
                  <c:x val="-4.941599630819732E-3"/>
                  <c:y val="9.8404553818099913E-4"/>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ext>
            </c:extLst>
          </c:dLbls>
          <c:cat>
            <c:strRef>
              <c:f>Sheet1!$A$2:$A$5</c:f>
              <c:strCache>
                <c:ptCount val="4"/>
                <c:pt idx="0">
                  <c:v>旧存</c:v>
                </c:pt>
                <c:pt idx="1">
                  <c:v>新收</c:v>
                </c:pt>
                <c:pt idx="2">
                  <c:v>已结</c:v>
                </c:pt>
                <c:pt idx="3">
                  <c:v>未结</c:v>
                </c:pt>
              </c:strCache>
            </c:strRef>
          </c:cat>
          <c:val>
            <c:numRef>
              <c:f>Sheet1!$B$2:$B$5</c:f>
              <c:numCache>
                <c:formatCode>General</c:formatCode>
                <c:ptCount val="4"/>
                <c:pt idx="0">
                  <c:v>60</c:v>
                </c:pt>
                <c:pt idx="1">
                  <c:v>341</c:v>
                </c:pt>
                <c:pt idx="2">
                  <c:v>317</c:v>
                </c:pt>
                <c:pt idx="3">
                  <c:v>84</c:v>
                </c:pt>
              </c:numCache>
            </c:numRef>
          </c:val>
        </c:ser>
        <c:ser>
          <c:idx val="1"/>
          <c:order val="1"/>
          <c:tx>
            <c:strRef>
              <c:f>Sheet1!$C$1</c:f>
              <c:strCache>
                <c:ptCount val="1"/>
                <c:pt idx="0">
                  <c:v>2018年上半年</c:v>
                </c:pt>
              </c:strCache>
            </c:strRef>
          </c:tx>
          <c:dLbls>
            <c:dLbl>
              <c:idx val="0"/>
              <c:layout>
                <c:manualLayout>
                  <c:x val="0"/>
                  <c:y val="-5.1885350381053106E-4"/>
                </c:manualLayout>
              </c:layout>
              <c:dLblPos val="outEnd"/>
              <c:showVal val="1"/>
              <c:extLst>
                <c:ext xmlns:c15="http://schemas.microsoft.com/office/drawing/2012/chart" uri="{CE6537A1-D6FC-4f65-9D91-7224C49458BB}">
                  <c15:layout/>
                </c:ext>
              </c:extLst>
            </c:dLbl>
            <c:dLbl>
              <c:idx val="1"/>
              <c:layout>
                <c:manualLayout>
                  <c:x val="-2.4707998154098608E-3"/>
                  <c:y val="-3.8152548976483247E-3"/>
                </c:manualLayout>
              </c:layout>
              <c:dLblPos val="outEnd"/>
              <c:showVal val="1"/>
              <c:extLst>
                <c:ext xmlns:c15="http://schemas.microsoft.com/office/drawing/2012/chart" uri="{CE6537A1-D6FC-4f65-9D91-7224C49458BB}">
                  <c15:layout/>
                </c:ext>
              </c:extLst>
            </c:dLbl>
            <c:dLbl>
              <c:idx val="2"/>
              <c:layout>
                <c:manualLayout>
                  <c:x val="0"/>
                  <c:y val="1.0582646409839899E-2"/>
                </c:manualLayout>
              </c:layout>
              <c:dLblPos val="outEnd"/>
              <c:showVal val="1"/>
              <c:extLst>
                <c:ext xmlns:c15="http://schemas.microsoft.com/office/drawing/2012/chart" uri="{CE6537A1-D6FC-4f65-9D91-7224C49458BB}">
                  <c15:layout/>
                </c:ext>
              </c:extLst>
            </c:dLbl>
            <c:dLbl>
              <c:idx val="3"/>
              <c:layout>
                <c:manualLayout>
                  <c:x val="0"/>
                  <c:y val="2.4980547717328012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ext>
            </c:extLst>
          </c:dLbls>
          <c:cat>
            <c:strRef>
              <c:f>Sheet1!$A$2:$A$5</c:f>
              <c:strCache>
                <c:ptCount val="4"/>
                <c:pt idx="0">
                  <c:v>旧存</c:v>
                </c:pt>
                <c:pt idx="1">
                  <c:v>新收</c:v>
                </c:pt>
                <c:pt idx="2">
                  <c:v>已结</c:v>
                </c:pt>
                <c:pt idx="3">
                  <c:v>未结</c:v>
                </c:pt>
              </c:strCache>
            </c:strRef>
          </c:cat>
          <c:val>
            <c:numRef>
              <c:f>Sheet1!$C$2:$C$5</c:f>
              <c:numCache>
                <c:formatCode>General</c:formatCode>
                <c:ptCount val="4"/>
                <c:pt idx="0">
                  <c:v>35</c:v>
                </c:pt>
                <c:pt idx="1">
                  <c:v>335</c:v>
                </c:pt>
                <c:pt idx="2">
                  <c:v>296</c:v>
                </c:pt>
                <c:pt idx="3">
                  <c:v>74</c:v>
                </c:pt>
              </c:numCache>
            </c:numRef>
          </c:val>
        </c:ser>
        <c:dLbls>
          <c:showVal val="1"/>
        </c:dLbls>
        <c:axId val="101627776"/>
        <c:axId val="101629312"/>
      </c:barChart>
      <c:catAx>
        <c:axId val="10162777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1629312"/>
        <c:crosses val="autoZero"/>
        <c:auto val="1"/>
        <c:lblAlgn val="ctr"/>
        <c:lblOffset val="100"/>
      </c:catAx>
      <c:valAx>
        <c:axId val="101629312"/>
        <c:scaling>
          <c:orientation val="minMax"/>
        </c:scaling>
        <c:axPos val="l"/>
        <c:majorGridlines/>
        <c:numFmt formatCode="General" sourceLinked="1"/>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162777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实际执结率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Sheet1!$A$2:$A$7</c:f>
              <c:strCache>
                <c:ptCount val="6"/>
                <c:pt idx="0">
                  <c:v>中院</c:v>
                </c:pt>
                <c:pt idx="1">
                  <c:v>临江院</c:v>
                </c:pt>
                <c:pt idx="2">
                  <c:v>江源院</c:v>
                </c:pt>
                <c:pt idx="3">
                  <c:v>白石山院</c:v>
                </c:pt>
                <c:pt idx="4">
                  <c:v>抚松院</c:v>
                </c:pt>
                <c:pt idx="5">
                  <c:v>红石院</c:v>
                </c:pt>
              </c:strCache>
            </c:strRef>
          </c:cat>
          <c:val>
            <c:numRef>
              <c:f>Sheet1!$B$2:$B$7</c:f>
              <c:numCache>
                <c:formatCode>0.00%</c:formatCode>
                <c:ptCount val="6"/>
                <c:pt idx="0" formatCode="0%">
                  <c:v>1</c:v>
                </c:pt>
                <c:pt idx="1">
                  <c:v>0.77780000000000338</c:v>
                </c:pt>
                <c:pt idx="2">
                  <c:v>0.73330000000000062</c:v>
                </c:pt>
                <c:pt idx="3">
                  <c:v>0.8</c:v>
                </c:pt>
                <c:pt idx="4">
                  <c:v>0.53500000000000003</c:v>
                </c:pt>
                <c:pt idx="5">
                  <c:v>0.30430000000000162</c:v>
                </c:pt>
              </c:numCache>
            </c:numRef>
          </c:val>
        </c:ser>
        <c:dLbls>
          <c:showVal val="1"/>
        </c:dLbls>
        <c:axId val="290473472"/>
        <c:axId val="290475008"/>
      </c:barChart>
      <c:catAx>
        <c:axId val="29047347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90475008"/>
        <c:crosses val="autoZero"/>
        <c:auto val="1"/>
        <c:lblAlgn val="ctr"/>
        <c:lblOffset val="100"/>
      </c:catAx>
      <c:valAx>
        <c:axId val="290475008"/>
        <c:scaling>
          <c:orientation val="minMax"/>
        </c:scaling>
        <c:axPos val="l"/>
        <c:majorGridlines/>
        <c:numFmt formatCode="0%"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90473472"/>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执行完毕率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Sheet1!$A$2:$A$7</c:f>
              <c:strCache>
                <c:ptCount val="6"/>
                <c:pt idx="0">
                  <c:v>中院</c:v>
                </c:pt>
                <c:pt idx="1">
                  <c:v>临江院</c:v>
                </c:pt>
                <c:pt idx="2">
                  <c:v>江源院</c:v>
                </c:pt>
                <c:pt idx="3">
                  <c:v>白石山院</c:v>
                </c:pt>
                <c:pt idx="4">
                  <c:v>抚松院</c:v>
                </c:pt>
                <c:pt idx="5">
                  <c:v>红石院</c:v>
                </c:pt>
              </c:strCache>
            </c:strRef>
          </c:cat>
          <c:val>
            <c:numRef>
              <c:f>Sheet1!$B$2:$B$7</c:f>
              <c:numCache>
                <c:formatCode>0.00%</c:formatCode>
                <c:ptCount val="6"/>
                <c:pt idx="0" formatCode="0%">
                  <c:v>1</c:v>
                </c:pt>
                <c:pt idx="1">
                  <c:v>0.44440000000000002</c:v>
                </c:pt>
                <c:pt idx="2">
                  <c:v>0.5454</c:v>
                </c:pt>
                <c:pt idx="3">
                  <c:v>0.2</c:v>
                </c:pt>
                <c:pt idx="4">
                  <c:v>0.53500000000000003</c:v>
                </c:pt>
                <c:pt idx="5">
                  <c:v>0.30430000000000162</c:v>
                </c:pt>
              </c:numCache>
            </c:numRef>
          </c:val>
        </c:ser>
        <c:dLbls>
          <c:showVal val="1"/>
        </c:dLbls>
        <c:axId val="290175616"/>
        <c:axId val="290177408"/>
      </c:barChart>
      <c:catAx>
        <c:axId val="29017561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90177408"/>
        <c:crosses val="autoZero"/>
        <c:auto val="1"/>
        <c:lblAlgn val="ctr"/>
        <c:lblOffset val="100"/>
      </c:catAx>
      <c:valAx>
        <c:axId val="290177408"/>
        <c:scaling>
          <c:orientation val="minMax"/>
        </c:scaling>
        <c:axPos val="l"/>
        <c:majorGridlines/>
        <c:numFmt formatCode="0%"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9017561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终本率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Sheet1!$A$2:$A$7</c:f>
              <c:strCache>
                <c:ptCount val="6"/>
                <c:pt idx="0">
                  <c:v>中院</c:v>
                </c:pt>
                <c:pt idx="1">
                  <c:v>临江院</c:v>
                </c:pt>
                <c:pt idx="2">
                  <c:v>江源院</c:v>
                </c:pt>
                <c:pt idx="3">
                  <c:v>白石山院</c:v>
                </c:pt>
                <c:pt idx="4">
                  <c:v>抚松院</c:v>
                </c:pt>
                <c:pt idx="5">
                  <c:v>红石院</c:v>
                </c:pt>
              </c:strCache>
            </c:strRef>
          </c:cat>
          <c:val>
            <c:numRef>
              <c:f>Sheet1!$B$2:$B$7</c:f>
              <c:numCache>
                <c:formatCode>0.00%</c:formatCode>
                <c:ptCount val="6"/>
                <c:pt idx="0" formatCode="0%">
                  <c:v>0</c:v>
                </c:pt>
                <c:pt idx="1">
                  <c:v>0.1111</c:v>
                </c:pt>
                <c:pt idx="2">
                  <c:v>6.6700000000000009E-2</c:v>
                </c:pt>
                <c:pt idx="3" formatCode="0%">
                  <c:v>0.1</c:v>
                </c:pt>
                <c:pt idx="4">
                  <c:v>8.7000000000000022E-2</c:v>
                </c:pt>
                <c:pt idx="5">
                  <c:v>0.17390000000000028</c:v>
                </c:pt>
              </c:numCache>
            </c:numRef>
          </c:val>
        </c:ser>
        <c:dLbls>
          <c:showVal val="1"/>
        </c:dLbls>
        <c:axId val="290164736"/>
        <c:axId val="290166272"/>
      </c:barChart>
      <c:catAx>
        <c:axId val="29016473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90166272"/>
        <c:crosses val="autoZero"/>
        <c:auto val="1"/>
        <c:lblAlgn val="ctr"/>
        <c:lblOffset val="100"/>
      </c:catAx>
      <c:valAx>
        <c:axId val="290166272"/>
        <c:scaling>
          <c:orientation val="minMax"/>
        </c:scaling>
        <c:axPos val="l"/>
        <c:majorGridlines/>
        <c:numFmt formatCode="0%"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9016473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36512556134959"/>
          <c:y val="0.17847607890146525"/>
          <c:w val="0.45353985098109179"/>
          <c:h val="0.74338923217855224"/>
        </c:manualLayout>
      </c:layout>
      <c:pieChart>
        <c:varyColors val="1"/>
        <c:ser>
          <c:idx val="0"/>
          <c:order val="0"/>
          <c:tx>
            <c:strRef>
              <c:f>Sheet1!$B$1</c:f>
              <c:strCache>
                <c:ptCount val="1"/>
                <c:pt idx="0">
                  <c:v>实际执行到位金额构成比例情况</c:v>
                </c:pt>
              </c:strCache>
            </c:strRef>
          </c:tx>
          <c:explosion val="1"/>
          <c:dPt>
            <c:idx val="0"/>
            <c:explosion val="0"/>
          </c:dPt>
          <c:dLbls>
            <c:dLbl>
              <c:idx val="0"/>
              <c:layout>
                <c:manualLayout>
                  <c:x val="0.12903748367063925"/>
                  <c:y val="-0.16330303717228828"/>
                </c:manualLayout>
              </c:layout>
              <c:dLblPos val="bestFit"/>
              <c:showVal val="1"/>
              <c:showCatName val="1"/>
              <c:separator> </c:separator>
              <c:extLst>
                <c:ext xmlns:c15="http://schemas.microsoft.com/office/drawing/2012/chart" uri="{CE6537A1-D6FC-4f65-9D91-7224C49458BB}">
                  <c15:layout/>
                </c:ext>
              </c:extLst>
            </c:dLbl>
            <c:dLbl>
              <c:idx val="2"/>
              <c:layout>
                <c:manualLayout>
                  <c:x val="0.14348164107762931"/>
                  <c:y val="-4.2022906890149508E-2"/>
                </c:manualLayout>
              </c:layout>
              <c:dLblPos val="bestFit"/>
              <c:showVal val="1"/>
              <c:showCatName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eparator> </c:separator>
            <c:extLst>
              <c:ext xmlns:c15="http://schemas.microsoft.com/office/drawing/2012/chart" uri="{CE6537A1-D6FC-4f65-9D91-7224C49458BB}">
                <c15:layout/>
                <c15:showLeaderLines val="1"/>
                <c15:leaderLines/>
              </c:ext>
            </c:extLst>
          </c:dLbls>
          <c:cat>
            <c:strRef>
              <c:f>Sheet1!$A$2:$A$4</c:f>
              <c:strCache>
                <c:ptCount val="3"/>
                <c:pt idx="0">
                  <c:v>执行完毕案件结案金额</c:v>
                </c:pt>
                <c:pt idx="1">
                  <c:v>终本案件已执行到位金额</c:v>
                </c:pt>
                <c:pt idx="2">
                  <c:v>未执行案件执行到位金额</c:v>
                </c:pt>
              </c:strCache>
            </c:strRef>
          </c:cat>
          <c:val>
            <c:numRef>
              <c:f>Sheet1!$B$2:$B$4</c:f>
              <c:numCache>
                <c:formatCode>0.00%</c:formatCode>
                <c:ptCount val="3"/>
                <c:pt idx="0">
                  <c:v>0.88760000000000061</c:v>
                </c:pt>
                <c:pt idx="1">
                  <c:v>1.7800000000000003E-2</c:v>
                </c:pt>
                <c:pt idx="2">
                  <c:v>9.4500000000000264E-2</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ln w="9525" cap="flat" cmpd="sng" algn="ctr">
      <a:noFill/>
      <a:prstDash val="solid"/>
      <a:round/>
    </a:ln>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系列 1</c:v>
                </c:pt>
              </c:strCache>
            </c:strRef>
          </c:tx>
          <c:dLbls>
            <c:dLbl>
              <c:idx val="3"/>
              <c:layout>
                <c:manualLayout>
                  <c:x val="-4.7250864700125409E-3"/>
                  <c:y val="1.7585929594661636E-2"/>
                </c:manualLayout>
              </c:layout>
              <c:dLblPos val="outEnd"/>
              <c:showVal val="1"/>
              <c:extLst>
                <c:ext xmlns:c15="http://schemas.microsoft.com/office/drawing/2012/chart" uri="{CE6537A1-D6FC-4f65-9D91-7224C49458BB}">
                  <c15:layout/>
                </c:ext>
              </c:extLst>
            </c:dLbl>
            <c:dLbl>
              <c:idx val="4"/>
              <c:layout>
                <c:manualLayout>
                  <c:x val="-4.7258305781180355E-3"/>
                  <c:y val="2.6382356189156811E-2"/>
                </c:manualLayout>
              </c:layout>
              <c:dLblPos val="outEnd"/>
              <c:showVal val="1"/>
              <c:extLst>
                <c:ext xmlns:c15="http://schemas.microsoft.com/office/drawing/2012/chart" uri="{CE6537A1-D6FC-4f65-9D91-7224C49458BB}">
                  <c15:layout/>
                </c:ext>
              </c:extLst>
            </c:dLbl>
            <c:dLbl>
              <c:idx val="5"/>
              <c:layout>
                <c:manualLayout>
                  <c:x val="0"/>
                  <c:y val="2.1973192704900179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Sheet1!$A$2:$A$7</c:f>
              <c:strCache>
                <c:ptCount val="6"/>
                <c:pt idx="0">
                  <c:v>中院</c:v>
                </c:pt>
                <c:pt idx="1">
                  <c:v>白石山院</c:v>
                </c:pt>
                <c:pt idx="2">
                  <c:v>红石院</c:v>
                </c:pt>
                <c:pt idx="3">
                  <c:v>临江院</c:v>
                </c:pt>
                <c:pt idx="4">
                  <c:v>抚松院</c:v>
                </c:pt>
                <c:pt idx="5">
                  <c:v>江源院</c:v>
                </c:pt>
              </c:strCache>
            </c:strRef>
          </c:cat>
          <c:val>
            <c:numRef>
              <c:f>Sheet1!$B$2:$B$7</c:f>
              <c:numCache>
                <c:formatCode>0.00%</c:formatCode>
                <c:ptCount val="6"/>
                <c:pt idx="0">
                  <c:v>0.77270000000000338</c:v>
                </c:pt>
                <c:pt idx="1">
                  <c:v>0.79549999999999998</c:v>
                </c:pt>
                <c:pt idx="2">
                  <c:v>0.71910000000000163</c:v>
                </c:pt>
                <c:pt idx="3">
                  <c:v>0.83330000000000004</c:v>
                </c:pt>
                <c:pt idx="4">
                  <c:v>0.85390000000000199</c:v>
                </c:pt>
                <c:pt idx="5">
                  <c:v>0.83930000000000005</c:v>
                </c:pt>
              </c:numCache>
            </c:numRef>
          </c:val>
        </c:ser>
        <c:dLbls>
          <c:showVal val="1"/>
        </c:dLbls>
        <c:axId val="101645312"/>
        <c:axId val="275579648"/>
      </c:barChart>
      <c:catAx>
        <c:axId val="10164531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5579648"/>
        <c:crosses val="autoZero"/>
        <c:auto val="1"/>
        <c:lblAlgn val="ctr"/>
        <c:lblOffset val="100"/>
      </c:catAx>
      <c:valAx>
        <c:axId val="275579648"/>
        <c:scaling>
          <c:orientation val="minMax"/>
        </c:scaling>
        <c:axPos val="l"/>
        <c:majorGridlines/>
        <c:numFmt formatCode="0.00%"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1645312"/>
        <c:crosses val="autoZero"/>
        <c:crossBetween val="between"/>
      </c:valAx>
      <c:spPr>
        <a:ln>
          <a:noFill/>
        </a:ln>
      </c:spPr>
    </c:plotArea>
    <c:plotVisOnly val="1"/>
    <c:dispBlanksAs val="gap"/>
  </c:chart>
  <c:spPr>
    <a:ln w="9525" cap="flat" cmpd="sng" algn="ctr">
      <a:noFill/>
      <a:prstDash val="solid"/>
      <a:round/>
    </a:ln>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平均审理时长</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Sheet1!$A$2:$A$8</c:f>
              <c:strCache>
                <c:ptCount val="7"/>
                <c:pt idx="0">
                  <c:v>民事一审</c:v>
                </c:pt>
                <c:pt idx="1">
                  <c:v>民事二审</c:v>
                </c:pt>
                <c:pt idx="2">
                  <c:v>刑事一审</c:v>
                </c:pt>
                <c:pt idx="3">
                  <c:v>刑事二审</c:v>
                </c:pt>
                <c:pt idx="4">
                  <c:v>行政一审</c:v>
                </c:pt>
                <c:pt idx="5">
                  <c:v>行政二审</c:v>
                </c:pt>
                <c:pt idx="6">
                  <c:v>审查监督</c:v>
                </c:pt>
              </c:strCache>
            </c:strRef>
          </c:cat>
          <c:val>
            <c:numRef>
              <c:f>Sheet1!$B$2:$B$8</c:f>
              <c:numCache>
                <c:formatCode>General</c:formatCode>
                <c:ptCount val="7"/>
                <c:pt idx="0">
                  <c:v>32.800000000000004</c:v>
                </c:pt>
                <c:pt idx="1">
                  <c:v>41</c:v>
                </c:pt>
                <c:pt idx="2">
                  <c:v>20.8</c:v>
                </c:pt>
                <c:pt idx="3">
                  <c:v>25.8</c:v>
                </c:pt>
                <c:pt idx="4">
                  <c:v>71.099999999999994</c:v>
                </c:pt>
                <c:pt idx="5">
                  <c:v>17</c:v>
                </c:pt>
                <c:pt idx="6">
                  <c:v>97</c:v>
                </c:pt>
              </c:numCache>
            </c:numRef>
          </c:val>
        </c:ser>
        <c:dLbls>
          <c:showVal val="1"/>
        </c:dLbls>
        <c:axId val="275636224"/>
        <c:axId val="275637760"/>
      </c:barChart>
      <c:catAx>
        <c:axId val="275636224"/>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5637760"/>
        <c:crosses val="autoZero"/>
        <c:auto val="1"/>
        <c:lblAlgn val="ctr"/>
        <c:lblOffset val="100"/>
      </c:catAx>
      <c:valAx>
        <c:axId val="275637760"/>
        <c:scaling>
          <c:orientation val="minMax"/>
        </c:scaling>
        <c:axPos val="l"/>
        <c:majorGridlines/>
        <c:numFmt formatCode="General" sourceLinked="1"/>
        <c:tickLblPos val="nextTo"/>
        <c:spPr>
          <a:ln w="9525" cap="flat" cmpd="sng" algn="ctr">
            <a:noFill/>
            <a:prstDash val="solid"/>
            <a:round/>
          </a:ln>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5636224"/>
        <c:crosses val="autoZero"/>
        <c:crossBetween val="between"/>
      </c:valAx>
    </c:plotArea>
    <c:plotVisOnly val="1"/>
    <c:dispBlanksAs val="gap"/>
  </c:chart>
  <c:spPr>
    <a:ln w="9525" cap="flat" cmpd="sng" algn="ctr">
      <a:noFill/>
      <a:prstDash val="solid"/>
      <a:round/>
    </a:ln>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各院新收审判类案件占两级法院比例情况</c:v>
                </c:pt>
              </c:strCache>
            </c:strRef>
          </c:tx>
          <c:dLbls>
            <c:dLbl>
              <c:idx val="0"/>
              <c:layout>
                <c:manualLayout>
                  <c:x val="7.8019043755099124E-3"/>
                  <c:y val="1.567161711419101E-2"/>
                </c:manualLayout>
              </c:layout>
              <c:tx>
                <c:rich>
                  <a:bodyPr/>
                  <a:lstStyle/>
                  <a:p>
                    <a:r>
                      <a:rPr lang="zh-CN" altLang="en-US"/>
                      <a:t>红石院 </a:t>
                    </a:r>
                    <a:endParaRPr lang="en-US" altLang="zh-CN"/>
                  </a:p>
                  <a:p>
                    <a:r>
                      <a:rPr lang="en-US" altLang="zh-CN"/>
                      <a:t>21.79%</a:t>
                    </a:r>
                    <a:endParaRPr lang="zh-CN" altLang="en-US"/>
                  </a:p>
                </c:rich>
              </c:tx>
              <c:dLblPos val="bestFit"/>
              <c:showVal val="1"/>
              <c:showCatName val="1"/>
              <c:separator> </c:separator>
              <c:extLst>
                <c:ext xmlns:c15="http://schemas.microsoft.com/office/drawing/2012/chart" uri="{CE6537A1-D6FC-4f65-9D91-7224C49458BB}">
                  <c15:layout/>
                </c:ext>
              </c:extLst>
            </c:dLbl>
            <c:dLbl>
              <c:idx val="1"/>
              <c:layout>
                <c:manualLayout>
                  <c:x val="8.0529508056317728E-3"/>
                  <c:y val="-2.1385094185793159E-2"/>
                </c:manualLayout>
              </c:layout>
              <c:tx>
                <c:rich>
                  <a:bodyPr/>
                  <a:lstStyle/>
                  <a:p>
                    <a:r>
                      <a:rPr lang="zh-CN" altLang="en-US"/>
                      <a:t>抚松院</a:t>
                    </a:r>
                    <a:endParaRPr lang="en-US" altLang="zh-CN"/>
                  </a:p>
                  <a:p>
                    <a:r>
                      <a:rPr lang="zh-CN" altLang="en-US"/>
                      <a:t> </a:t>
                    </a:r>
                    <a:r>
                      <a:rPr lang="en-US" altLang="zh-CN"/>
                      <a:t>25.37%</a:t>
                    </a:r>
                    <a:endParaRPr lang="zh-CN" altLang="en-US"/>
                  </a:p>
                </c:rich>
              </c:tx>
              <c:dLblPos val="bestFit"/>
              <c:showVal val="1"/>
              <c:showCatName val="1"/>
              <c:separator> </c:separator>
              <c:extLst>
                <c:ext xmlns:c15="http://schemas.microsoft.com/office/drawing/2012/chart" uri="{CE6537A1-D6FC-4f65-9D91-7224C49458BB}">
                  <c15:layout/>
                </c:ext>
              </c:extLst>
            </c:dLbl>
            <c:dLbl>
              <c:idx val="2"/>
              <c:layout>
                <c:manualLayout>
                  <c:x val="-2.6405749531418644E-2"/>
                  <c:y val="-7.1751799928390745E-4"/>
                </c:manualLayout>
              </c:layout>
              <c:tx>
                <c:rich>
                  <a:bodyPr/>
                  <a:lstStyle/>
                  <a:p>
                    <a:r>
                      <a:rPr lang="zh-CN" altLang="en-US"/>
                      <a:t>中院</a:t>
                    </a:r>
                    <a:endParaRPr lang="en-US" altLang="zh-CN"/>
                  </a:p>
                  <a:p>
                    <a:r>
                      <a:rPr lang="zh-CN" altLang="en-US"/>
                      <a:t> </a:t>
                    </a:r>
                    <a:r>
                      <a:rPr lang="en-US" altLang="zh-CN"/>
                      <a:t>12.24%</a:t>
                    </a:r>
                    <a:endParaRPr lang="zh-CN" altLang="en-US"/>
                  </a:p>
                </c:rich>
              </c:tx>
              <c:dLblPos val="bestFit"/>
              <c:showVal val="1"/>
              <c:showCatName val="1"/>
              <c:separator> </c:separator>
              <c:extLst>
                <c:ext xmlns:c15="http://schemas.microsoft.com/office/drawing/2012/chart" uri="{CE6537A1-D6FC-4f65-9D91-7224C49458BB}">
                  <c15:layout/>
                </c:ext>
              </c:extLst>
            </c:dLbl>
            <c:dLbl>
              <c:idx val="3"/>
              <c:layout>
                <c:manualLayout>
                  <c:x val="-1.6802644888827305E-2"/>
                  <c:y val="2.5465133354169145E-3"/>
                </c:manualLayout>
              </c:layout>
              <c:dLblPos val="bestFit"/>
              <c:showVal val="1"/>
              <c:showCatName val="1"/>
              <c:separator> </c:separator>
              <c:extLst>
                <c:ext xmlns:c15="http://schemas.microsoft.com/office/drawing/2012/chart" uri="{CE6537A1-D6FC-4f65-9D91-7224C49458BB}">
                  <c15:layout/>
                </c:ext>
              </c:extLst>
            </c:dLbl>
            <c:dLbl>
              <c:idx val="4"/>
              <c:layout>
                <c:manualLayout>
                  <c:x val="-2.3337427655805005E-2"/>
                  <c:y val="-2.1180647778663289E-3"/>
                </c:manualLayout>
              </c:layout>
              <c:tx>
                <c:rich>
                  <a:bodyPr/>
                  <a:lstStyle/>
                  <a:p>
                    <a:r>
                      <a:rPr lang="zh-CN" altLang="en-US"/>
                      <a:t>江源院</a:t>
                    </a:r>
                    <a:endParaRPr lang="en-US" altLang="zh-CN"/>
                  </a:p>
                  <a:p>
                    <a:r>
                      <a:rPr lang="zh-CN" altLang="en-US"/>
                      <a:t> </a:t>
                    </a:r>
                    <a:r>
                      <a:rPr lang="en-US" altLang="zh-CN"/>
                      <a:t>15.82%</a:t>
                    </a:r>
                    <a:endParaRPr lang="zh-CN" altLang="en-US"/>
                  </a:p>
                </c:rich>
              </c:tx>
              <c:dLblPos val="bestFit"/>
              <c:showVal val="1"/>
              <c:showCatName val="1"/>
              <c:separator> </c:separator>
              <c:extLst>
                <c:ext xmlns:c15="http://schemas.microsoft.com/office/drawing/2012/chart" uri="{CE6537A1-D6FC-4f65-9D91-7224C49458BB}">
                  <c15:layout/>
                </c:ext>
              </c:extLst>
            </c:dLbl>
            <c:dLbl>
              <c:idx val="5"/>
              <c:layout>
                <c:manualLayout>
                  <c:x val="-5.1204633563750315E-3"/>
                  <c:y val="-3.3600322563096782E-4"/>
                </c:manualLayout>
              </c:layout>
              <c:tx>
                <c:rich>
                  <a:bodyPr/>
                  <a:lstStyle/>
                  <a:p>
                    <a:r>
                      <a:rPr lang="zh-CN" altLang="en-US"/>
                      <a:t>临江院</a:t>
                    </a:r>
                    <a:endParaRPr lang="en-US" altLang="zh-CN"/>
                  </a:p>
                  <a:p>
                    <a:r>
                      <a:rPr lang="zh-CN" altLang="en-US"/>
                      <a:t> </a:t>
                    </a:r>
                    <a:r>
                      <a:rPr lang="en-US" altLang="zh-CN"/>
                      <a:t>12.84%</a:t>
                    </a:r>
                    <a:endParaRPr lang="zh-CN" altLang="en-US"/>
                  </a:p>
                </c:rich>
              </c:tx>
              <c:dLblPos val="bestFit"/>
              <c:showVal val="1"/>
              <c:showCatName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eparator> </c:separator>
            <c:extLst>
              <c:ext xmlns:c15="http://schemas.microsoft.com/office/drawing/2012/chart" uri="{CE6537A1-D6FC-4f65-9D91-7224C49458BB}">
                <c15:layout/>
                <c15:showLeaderLines val="1"/>
                <c15:leaderLines/>
              </c:ext>
            </c:extLst>
          </c:dLbls>
          <c:cat>
            <c:strRef>
              <c:f>Sheet1!$A$2:$A$7</c:f>
              <c:strCache>
                <c:ptCount val="6"/>
                <c:pt idx="0">
                  <c:v>红石院</c:v>
                </c:pt>
                <c:pt idx="1">
                  <c:v>抚松院</c:v>
                </c:pt>
                <c:pt idx="2">
                  <c:v>中院</c:v>
                </c:pt>
                <c:pt idx="3">
                  <c:v>白石山院</c:v>
                </c:pt>
                <c:pt idx="4">
                  <c:v>江源院</c:v>
                </c:pt>
                <c:pt idx="5">
                  <c:v>临江院</c:v>
                </c:pt>
              </c:strCache>
            </c:strRef>
          </c:cat>
          <c:val>
            <c:numRef>
              <c:f>Sheet1!$B$2:$B$7</c:f>
              <c:numCache>
                <c:formatCode>0.00%</c:formatCode>
                <c:ptCount val="6"/>
                <c:pt idx="0">
                  <c:v>0.21790000000000037</c:v>
                </c:pt>
                <c:pt idx="1">
                  <c:v>0.25369999999999998</c:v>
                </c:pt>
                <c:pt idx="2">
                  <c:v>0.12240000000000002</c:v>
                </c:pt>
                <c:pt idx="3">
                  <c:v>0.11940000000000002</c:v>
                </c:pt>
                <c:pt idx="4">
                  <c:v>0.15820000000000031</c:v>
                </c:pt>
                <c:pt idx="5">
                  <c:v>0.12840000000000001</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ln w="9525" cap="flat" cmpd="sng" algn="ctr">
      <a:noFill/>
      <a:prstDash val="solid"/>
      <a:round/>
    </a:ln>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clustered"/>
        <c:ser>
          <c:idx val="0"/>
          <c:order val="0"/>
          <c:tx>
            <c:strRef>
              <c:f>Sheet1!$B$1</c:f>
              <c:strCache>
                <c:ptCount val="1"/>
                <c:pt idx="0">
                  <c:v>2018年上半年</c:v>
                </c:pt>
              </c:strCache>
            </c:strRef>
          </c:tx>
          <c:dLbls>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Sheet1!$A$2:$A$7</c:f>
              <c:strCache>
                <c:ptCount val="6"/>
                <c:pt idx="0">
                  <c:v>红石院</c:v>
                </c:pt>
                <c:pt idx="1">
                  <c:v>抚松院</c:v>
                </c:pt>
                <c:pt idx="2">
                  <c:v>中院</c:v>
                </c:pt>
                <c:pt idx="3">
                  <c:v>白石山院</c:v>
                </c:pt>
                <c:pt idx="4">
                  <c:v>江源院</c:v>
                </c:pt>
                <c:pt idx="5">
                  <c:v>临江院</c:v>
                </c:pt>
              </c:strCache>
            </c:strRef>
          </c:cat>
          <c:val>
            <c:numRef>
              <c:f>Sheet1!$B$2:$B$7</c:f>
              <c:numCache>
                <c:formatCode>General</c:formatCode>
                <c:ptCount val="6"/>
                <c:pt idx="0">
                  <c:v>73</c:v>
                </c:pt>
                <c:pt idx="1">
                  <c:v>85</c:v>
                </c:pt>
                <c:pt idx="2">
                  <c:v>41</c:v>
                </c:pt>
                <c:pt idx="3">
                  <c:v>40</c:v>
                </c:pt>
                <c:pt idx="4">
                  <c:v>53</c:v>
                </c:pt>
                <c:pt idx="5">
                  <c:v>43</c:v>
                </c:pt>
              </c:numCache>
            </c:numRef>
          </c:val>
        </c:ser>
        <c:ser>
          <c:idx val="1"/>
          <c:order val="1"/>
          <c:tx>
            <c:strRef>
              <c:f>Sheet1!$C$1</c:f>
              <c:strCache>
                <c:ptCount val="1"/>
                <c:pt idx="0">
                  <c:v>2017年上半年</c:v>
                </c:pt>
              </c:strCache>
            </c:strRef>
          </c:tx>
          <c:dLbls>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Sheet1!$A$2:$A$7</c:f>
              <c:strCache>
                <c:ptCount val="6"/>
                <c:pt idx="0">
                  <c:v>红石院</c:v>
                </c:pt>
                <c:pt idx="1">
                  <c:v>抚松院</c:v>
                </c:pt>
                <c:pt idx="2">
                  <c:v>中院</c:v>
                </c:pt>
                <c:pt idx="3">
                  <c:v>白石山院</c:v>
                </c:pt>
                <c:pt idx="4">
                  <c:v>江源院</c:v>
                </c:pt>
                <c:pt idx="5">
                  <c:v>临江院</c:v>
                </c:pt>
              </c:strCache>
            </c:strRef>
          </c:cat>
          <c:val>
            <c:numRef>
              <c:f>Sheet1!$C$2:$C$7</c:f>
              <c:numCache>
                <c:formatCode>General</c:formatCode>
                <c:ptCount val="6"/>
                <c:pt idx="0">
                  <c:v>94</c:v>
                </c:pt>
                <c:pt idx="1">
                  <c:v>80</c:v>
                </c:pt>
                <c:pt idx="2">
                  <c:v>31</c:v>
                </c:pt>
                <c:pt idx="3">
                  <c:v>47</c:v>
                </c:pt>
                <c:pt idx="4">
                  <c:v>55</c:v>
                </c:pt>
                <c:pt idx="5">
                  <c:v>34</c:v>
                </c:pt>
              </c:numCache>
            </c:numRef>
          </c:val>
        </c:ser>
        <c:dLbls>
          <c:showVal val="1"/>
        </c:dLbls>
        <c:axId val="275471744"/>
        <c:axId val="276063360"/>
      </c:barChart>
      <c:catAx>
        <c:axId val="275471744"/>
        <c:scaling>
          <c:orientation val="minMax"/>
        </c:scaling>
        <c:axPos val="l"/>
        <c:numFmt formatCode="General" sourceLinked="1"/>
        <c:tickLblPos val="nextTo"/>
        <c:txPr>
          <a:bodyPr rot="-60000000" spcFirstLastPara="0" vertOverflow="ellipsis" vert="horz" wrap="square" anchor="ctr" anchorCtr="1"/>
          <a:lstStyle/>
          <a:p>
            <a:pPr>
              <a:defRPr lang="zh-CN" sz="1050" b="0" i="0" u="none" strike="noStrike" kern="1200" baseline="0">
                <a:solidFill>
                  <a:schemeClr val="tx1"/>
                </a:solidFill>
                <a:latin typeface="+mn-lt"/>
                <a:ea typeface="+mn-ea"/>
                <a:cs typeface="+mn-cs"/>
              </a:defRPr>
            </a:pPr>
            <a:endParaRPr lang="zh-CN"/>
          </a:p>
        </c:txPr>
        <c:crossAx val="276063360"/>
        <c:crosses val="autoZero"/>
        <c:auto val="1"/>
        <c:lblAlgn val="ctr"/>
        <c:lblOffset val="100"/>
      </c:catAx>
      <c:valAx>
        <c:axId val="276063360"/>
        <c:scaling>
          <c:orientation val="minMax"/>
        </c:scaling>
        <c:axPos val="b"/>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547174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各院审结案件占两级法院比例情况</c:v>
                </c:pt>
              </c:strCache>
            </c:strRef>
          </c:tx>
          <c:dLbls>
            <c:dLbl>
              <c:idx val="0"/>
              <c:layout>
                <c:manualLayout>
                  <c:x val="8.4656364385841763E-3"/>
                  <c:y val="1.3021203027117623E-2"/>
                </c:manualLayout>
              </c:layout>
              <c:tx>
                <c:rich>
                  <a:bodyPr/>
                  <a:lstStyle/>
                  <a:p>
                    <a:r>
                      <a:rPr lang="zh-CN" altLang="en-US"/>
                      <a:t>红石院</a:t>
                    </a:r>
                    <a:endParaRPr lang="en-US" altLang="zh-CN"/>
                  </a:p>
                  <a:p>
                    <a:r>
                      <a:rPr lang="zh-CN" altLang="en-US"/>
                      <a:t> </a:t>
                    </a:r>
                    <a:r>
                      <a:rPr lang="en-US" altLang="zh-CN"/>
                      <a:t>21.62%</a:t>
                    </a:r>
                  </a:p>
                </c:rich>
              </c:tx>
              <c:dLblPos val="bestFit"/>
              <c:showVal val="1"/>
              <c:showCatName val="1"/>
              <c:separator> </c:separator>
              <c:extLst>
                <c:ext xmlns:c15="http://schemas.microsoft.com/office/drawing/2012/chart" uri="{CE6537A1-D6FC-4f65-9D91-7224C49458BB}">
                  <c15:layout/>
                </c:ext>
              </c:extLst>
            </c:dLbl>
            <c:dLbl>
              <c:idx val="1"/>
              <c:layout>
                <c:manualLayout>
                  <c:x val="-3.0264361141010498E-3"/>
                  <c:y val="3.2907913600649409E-3"/>
                </c:manualLayout>
              </c:layout>
              <c:tx>
                <c:rich>
                  <a:bodyPr/>
                  <a:lstStyle/>
                  <a:p>
                    <a:r>
                      <a:rPr lang="zh-CN" altLang="en-US"/>
                      <a:t>抚松院</a:t>
                    </a:r>
                    <a:endParaRPr lang="en-US" altLang="zh-CN"/>
                  </a:p>
                  <a:p>
                    <a:r>
                      <a:rPr lang="zh-CN" altLang="en-US"/>
                      <a:t> </a:t>
                    </a:r>
                    <a:r>
                      <a:rPr lang="en-US" altLang="zh-CN"/>
                      <a:t>25.68%</a:t>
                    </a:r>
                  </a:p>
                </c:rich>
              </c:tx>
              <c:dLblPos val="bestFit"/>
              <c:showVal val="1"/>
              <c:showCatName val="1"/>
              <c:separator> </c:separator>
              <c:extLst>
                <c:ext xmlns:c15="http://schemas.microsoft.com/office/drawing/2012/chart" uri="{CE6537A1-D6FC-4f65-9D91-7224C49458BB}">
                  <c15:layout/>
                </c:ext>
              </c:extLst>
            </c:dLbl>
            <c:dLbl>
              <c:idx val="2"/>
              <c:layout>
                <c:manualLayout>
                  <c:x val="-2.7919335239368248E-3"/>
                  <c:y val="-7.8746379530867413E-4"/>
                </c:manualLayout>
              </c:layout>
              <c:tx>
                <c:rich>
                  <a:bodyPr/>
                  <a:lstStyle/>
                  <a:p>
                    <a:r>
                      <a:rPr lang="zh-CN" altLang="en-US"/>
                      <a:t>中院</a:t>
                    </a:r>
                    <a:endParaRPr lang="en-US" altLang="zh-CN"/>
                  </a:p>
                  <a:p>
                    <a:r>
                      <a:rPr lang="zh-CN" altLang="en-US"/>
                      <a:t> </a:t>
                    </a:r>
                    <a:r>
                      <a:rPr lang="en-US" altLang="zh-CN"/>
                      <a:t>11.49%</a:t>
                    </a:r>
                  </a:p>
                </c:rich>
              </c:tx>
              <c:dLblPos val="bestFit"/>
              <c:showVal val="1"/>
              <c:showCatName val="1"/>
              <c:separator> </c:separator>
              <c:extLst>
                <c:ext xmlns:c15="http://schemas.microsoft.com/office/drawing/2012/chart" uri="{CE6537A1-D6FC-4f65-9D91-7224C49458BB}">
                  <c15:layout/>
                </c:ext>
              </c:extLst>
            </c:dLbl>
            <c:dLbl>
              <c:idx val="3"/>
              <c:layout>
                <c:manualLayout>
                  <c:x val="-1.7467809847002337E-2"/>
                  <c:y val="2.3930073762301603E-2"/>
                </c:manualLayout>
              </c:layout>
              <c:tx>
                <c:rich>
                  <a:bodyPr/>
                  <a:lstStyle/>
                  <a:p>
                    <a:r>
                      <a:rPr lang="zh-CN" altLang="en-US"/>
                      <a:t>江源院</a:t>
                    </a:r>
                    <a:endParaRPr lang="en-US" altLang="zh-CN"/>
                  </a:p>
                  <a:p>
                    <a:r>
                      <a:rPr lang="zh-CN" altLang="en-US"/>
                      <a:t> </a:t>
                    </a:r>
                    <a:r>
                      <a:rPr lang="en-US" altLang="zh-CN"/>
                      <a:t>15.88%</a:t>
                    </a:r>
                  </a:p>
                </c:rich>
              </c:tx>
              <c:dLblPos val="bestFit"/>
              <c:showVal val="1"/>
              <c:showCatName val="1"/>
              <c:separator> </c:separator>
              <c:extLst>
                <c:ext xmlns:c15="http://schemas.microsoft.com/office/drawing/2012/chart" uri="{CE6537A1-D6FC-4f65-9D91-7224C49458BB}">
                  <c15:layout/>
                </c:ext>
              </c:extLst>
            </c:dLbl>
            <c:dLbl>
              <c:idx val="4"/>
              <c:layout>
                <c:manualLayout>
                  <c:x val="-2.2412912904230566E-2"/>
                  <c:y val="-2.7267729822608611E-2"/>
                </c:manualLayout>
              </c:layout>
              <c:tx>
                <c:rich>
                  <a:bodyPr/>
                  <a:lstStyle/>
                  <a:p>
                    <a:r>
                      <a:rPr lang="zh-CN" altLang="en-US"/>
                      <a:t>临江院</a:t>
                    </a:r>
                    <a:endParaRPr lang="en-US" altLang="zh-CN"/>
                  </a:p>
                  <a:p>
                    <a:r>
                      <a:rPr lang="zh-CN" altLang="en-US"/>
                      <a:t> </a:t>
                    </a:r>
                    <a:r>
                      <a:rPr lang="en-US" altLang="zh-CN"/>
                      <a:t>13.51%</a:t>
                    </a:r>
                  </a:p>
                </c:rich>
              </c:tx>
              <c:dLblPos val="bestFit"/>
              <c:showVal val="1"/>
              <c:showCatName val="1"/>
              <c:separator> </c:separator>
              <c:extLst>
                <c:ext xmlns:c15="http://schemas.microsoft.com/office/drawing/2012/chart" uri="{CE6537A1-D6FC-4f65-9D91-7224C49458BB}">
                  <c15:layout/>
                </c:ext>
              </c:extLst>
            </c:dLbl>
            <c:dLbl>
              <c:idx val="5"/>
              <c:layout>
                <c:manualLayout>
                  <c:x val="3.1852184271330006E-2"/>
                  <c:y val="3.2582939401890245E-3"/>
                </c:manualLayout>
              </c:layout>
              <c:dLblPos val="bestFit"/>
              <c:showVal val="1"/>
              <c:showCatName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eparator> </c:separator>
            <c:extLst>
              <c:ext xmlns:c15="http://schemas.microsoft.com/office/drawing/2012/chart" uri="{CE6537A1-D6FC-4f65-9D91-7224C49458BB}">
                <c15:layout/>
                <c15:showLeaderLines val="1"/>
                <c15:leaderLines/>
              </c:ext>
            </c:extLst>
          </c:dLbls>
          <c:cat>
            <c:strRef>
              <c:f>Sheet1!$A$2:$A$7</c:f>
              <c:strCache>
                <c:ptCount val="6"/>
                <c:pt idx="0">
                  <c:v>红石院</c:v>
                </c:pt>
                <c:pt idx="1">
                  <c:v>抚松院</c:v>
                </c:pt>
                <c:pt idx="2">
                  <c:v>中院</c:v>
                </c:pt>
                <c:pt idx="3">
                  <c:v>江源院</c:v>
                </c:pt>
                <c:pt idx="4">
                  <c:v>临江院</c:v>
                </c:pt>
                <c:pt idx="5">
                  <c:v>白石山院</c:v>
                </c:pt>
              </c:strCache>
            </c:strRef>
          </c:cat>
          <c:val>
            <c:numRef>
              <c:f>Sheet1!$B$2:$B$7</c:f>
              <c:numCache>
                <c:formatCode>0.00%</c:formatCode>
                <c:ptCount val="6"/>
                <c:pt idx="0">
                  <c:v>0.21620000000000028</c:v>
                </c:pt>
                <c:pt idx="1">
                  <c:v>0.25680000000000008</c:v>
                </c:pt>
                <c:pt idx="2">
                  <c:v>0.1149</c:v>
                </c:pt>
                <c:pt idx="3">
                  <c:v>0.15880000000000025</c:v>
                </c:pt>
                <c:pt idx="4">
                  <c:v>0.1351</c:v>
                </c:pt>
                <c:pt idx="5">
                  <c:v>0.11820000000000012</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ln w="9525" cap="flat" cmpd="sng" algn="ctr">
      <a:noFill/>
      <a:prstDash val="solid"/>
      <a:round/>
    </a:ln>
  </c:spPr>
  <c:txPr>
    <a:bodyPr/>
    <a:lstStyle/>
    <a:p>
      <a:pPr>
        <a:defRPr lang="zh-CN"/>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clustered"/>
        <c:ser>
          <c:idx val="0"/>
          <c:order val="0"/>
          <c:tx>
            <c:strRef>
              <c:f>Sheet1!$B$1</c:f>
              <c:strCache>
                <c:ptCount val="1"/>
                <c:pt idx="0">
                  <c:v>2017年上半年</c:v>
                </c:pt>
              </c:strCache>
            </c:strRef>
          </c:tx>
          <c:dLbls>
            <c:dLbl>
              <c:idx val="1"/>
              <c:layout>
                <c:manualLayout>
                  <c:x val="7.6687116564417221E-3"/>
                  <c:y val="4.5300113250282313E-3"/>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Sheet1!$A$2:$A$7</c:f>
              <c:strCache>
                <c:ptCount val="6"/>
                <c:pt idx="0">
                  <c:v>江源院</c:v>
                </c:pt>
                <c:pt idx="1">
                  <c:v>抚松院</c:v>
                </c:pt>
                <c:pt idx="2">
                  <c:v>临江院</c:v>
                </c:pt>
                <c:pt idx="3">
                  <c:v>红石院</c:v>
                </c:pt>
                <c:pt idx="4">
                  <c:v>白石山院</c:v>
                </c:pt>
                <c:pt idx="5">
                  <c:v>中院</c:v>
                </c:pt>
              </c:strCache>
            </c:strRef>
          </c:cat>
          <c:val>
            <c:numRef>
              <c:f>Sheet1!$B$2:$B$7</c:f>
              <c:numCache>
                <c:formatCode>General</c:formatCode>
                <c:ptCount val="6"/>
                <c:pt idx="0">
                  <c:v>51</c:v>
                </c:pt>
                <c:pt idx="1">
                  <c:v>75</c:v>
                </c:pt>
                <c:pt idx="2">
                  <c:v>38</c:v>
                </c:pt>
                <c:pt idx="3">
                  <c:v>83</c:v>
                </c:pt>
                <c:pt idx="4">
                  <c:v>44</c:v>
                </c:pt>
                <c:pt idx="5">
                  <c:v>26</c:v>
                </c:pt>
              </c:numCache>
            </c:numRef>
          </c:val>
        </c:ser>
        <c:ser>
          <c:idx val="1"/>
          <c:order val="1"/>
          <c:tx>
            <c:strRef>
              <c:f>Sheet1!$C$1</c:f>
              <c:strCache>
                <c:ptCount val="1"/>
                <c:pt idx="0">
                  <c:v>2018年上半年</c:v>
                </c:pt>
              </c:strCache>
            </c:strRef>
          </c:tx>
          <c:dLbls>
            <c:dLbl>
              <c:idx val="1"/>
              <c:layout>
                <c:manualLayout>
                  <c:x val="7.6708500650814479E-3"/>
                  <c:y val="4.5267497046028891E-3"/>
                </c:manualLayout>
              </c:layout>
              <c:dLblPos val="outEnd"/>
              <c:showVal val="1"/>
              <c:extLst>
                <c:ext xmlns:c15="http://schemas.microsoft.com/office/drawing/2012/chart" uri="{CE6537A1-D6FC-4f65-9D91-7224C49458BB}">
                  <c15:layout/>
                </c:ext>
              </c:extLst>
            </c:dLbl>
            <c:dLbl>
              <c:idx val="2"/>
              <c:layout>
                <c:manualLayout>
                  <c:x val="-1.0227800086775221E-2"/>
                  <c:y val="0"/>
                </c:manualLayout>
              </c:layout>
              <c:dLblPos val="outEnd"/>
              <c:showVal val="1"/>
              <c:extLst>
                <c:ext xmlns:c15="http://schemas.microsoft.com/office/drawing/2012/chart" uri="{CE6537A1-D6FC-4f65-9D91-7224C49458BB}">
                  <c15:layout/>
                </c:ext>
              </c:extLst>
            </c:dLbl>
            <c:dLbl>
              <c:idx val="5"/>
              <c:layout>
                <c:manualLayout>
                  <c:x val="-7.6708500650814479E-3"/>
                  <c:y val="-4.5267497046028891E-3"/>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Sheet1!$A$2:$A$7</c:f>
              <c:strCache>
                <c:ptCount val="6"/>
                <c:pt idx="0">
                  <c:v>江源院</c:v>
                </c:pt>
                <c:pt idx="1">
                  <c:v>抚松院</c:v>
                </c:pt>
                <c:pt idx="2">
                  <c:v>临江院</c:v>
                </c:pt>
                <c:pt idx="3">
                  <c:v>红石院</c:v>
                </c:pt>
                <c:pt idx="4">
                  <c:v>白石山院</c:v>
                </c:pt>
                <c:pt idx="5">
                  <c:v>中院</c:v>
                </c:pt>
              </c:strCache>
            </c:strRef>
          </c:cat>
          <c:val>
            <c:numRef>
              <c:f>Sheet1!$C$2:$C$7</c:f>
              <c:numCache>
                <c:formatCode>General</c:formatCode>
                <c:ptCount val="6"/>
                <c:pt idx="0">
                  <c:v>47</c:v>
                </c:pt>
                <c:pt idx="1">
                  <c:v>76</c:v>
                </c:pt>
                <c:pt idx="2">
                  <c:v>40</c:v>
                </c:pt>
                <c:pt idx="3">
                  <c:v>64</c:v>
                </c:pt>
                <c:pt idx="4">
                  <c:v>35</c:v>
                </c:pt>
                <c:pt idx="5">
                  <c:v>34</c:v>
                </c:pt>
              </c:numCache>
            </c:numRef>
          </c:val>
        </c:ser>
        <c:dLbls>
          <c:showVal val="1"/>
        </c:dLbls>
        <c:axId val="275910016"/>
        <c:axId val="275911808"/>
      </c:barChart>
      <c:catAx>
        <c:axId val="275910016"/>
        <c:scaling>
          <c:orientation val="minMax"/>
        </c:scaling>
        <c:axPos val="l"/>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5911808"/>
        <c:crosses val="autoZero"/>
        <c:auto val="1"/>
        <c:lblAlgn val="ctr"/>
        <c:lblOffset val="100"/>
      </c:catAx>
      <c:valAx>
        <c:axId val="275911808"/>
        <c:scaling>
          <c:orientation val="minMax"/>
        </c:scaling>
        <c:axPos val="b"/>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591001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noFill/>
    <a:ln w="9525" cap="flat" cmpd="sng" algn="ctr">
      <a:noFill/>
      <a:prstDash val="solid"/>
      <a:round/>
    </a:ln>
  </c:spPr>
  <c:txPr>
    <a:bodyPr/>
    <a:lstStyle/>
    <a:p>
      <a:pPr>
        <a:defRPr lang="zh-CN"/>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clustered"/>
        <c:ser>
          <c:idx val="0"/>
          <c:order val="0"/>
          <c:tx>
            <c:strRef>
              <c:f>Sheet1!$B$1</c:f>
              <c:strCache>
                <c:ptCount val="1"/>
                <c:pt idx="0">
                  <c:v>2018年上半年简易程序适用率</c:v>
                </c:pt>
              </c:strCache>
            </c:strRef>
          </c:tx>
          <c:dLbls>
            <c:dLbl>
              <c:idx val="0"/>
              <c:layout>
                <c:manualLayout>
                  <c:x val="-7.27513252770947E-3"/>
                  <c:y val="8.5669802945962641E-3"/>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Sheet1!$A$2:$A$6</c:f>
              <c:strCache>
                <c:ptCount val="5"/>
                <c:pt idx="0">
                  <c:v>白石山院</c:v>
                </c:pt>
                <c:pt idx="1">
                  <c:v>抚松院</c:v>
                </c:pt>
                <c:pt idx="2">
                  <c:v>红石院</c:v>
                </c:pt>
                <c:pt idx="3">
                  <c:v>江源院</c:v>
                </c:pt>
                <c:pt idx="4">
                  <c:v>临江院</c:v>
                </c:pt>
              </c:strCache>
            </c:strRef>
          </c:cat>
          <c:val>
            <c:numRef>
              <c:f>Sheet1!$B$2:$B$6</c:f>
              <c:numCache>
                <c:formatCode>0.00%</c:formatCode>
                <c:ptCount val="5"/>
                <c:pt idx="0">
                  <c:v>0.84850000000000003</c:v>
                </c:pt>
                <c:pt idx="1">
                  <c:v>0.86840000000000062</c:v>
                </c:pt>
                <c:pt idx="2">
                  <c:v>0.84380000000000199</c:v>
                </c:pt>
                <c:pt idx="3">
                  <c:v>0.72340000000000004</c:v>
                </c:pt>
                <c:pt idx="4">
                  <c:v>0.77500000000000213</c:v>
                </c:pt>
              </c:numCache>
            </c:numRef>
          </c:val>
        </c:ser>
        <c:ser>
          <c:idx val="1"/>
          <c:order val="1"/>
          <c:tx>
            <c:strRef>
              <c:f>Sheet1!$C$1</c:f>
              <c:strCache>
                <c:ptCount val="1"/>
                <c:pt idx="0">
                  <c:v>2017年上半年简易程序适用率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Sheet1!$A$2:$A$6</c:f>
              <c:strCache>
                <c:ptCount val="5"/>
                <c:pt idx="0">
                  <c:v>白石山院</c:v>
                </c:pt>
                <c:pt idx="1">
                  <c:v>抚松院</c:v>
                </c:pt>
                <c:pt idx="2">
                  <c:v>红石院</c:v>
                </c:pt>
                <c:pt idx="3">
                  <c:v>江源院</c:v>
                </c:pt>
                <c:pt idx="4">
                  <c:v>临江院</c:v>
                </c:pt>
              </c:strCache>
            </c:strRef>
          </c:cat>
          <c:val>
            <c:numRef>
              <c:f>Sheet1!$C$2:$C$6</c:f>
              <c:numCache>
                <c:formatCode>0.00%</c:formatCode>
                <c:ptCount val="5"/>
                <c:pt idx="0">
                  <c:v>0.88370000000000004</c:v>
                </c:pt>
                <c:pt idx="1">
                  <c:v>0.82190000000000163</c:v>
                </c:pt>
                <c:pt idx="2">
                  <c:v>0.87950000000000061</c:v>
                </c:pt>
                <c:pt idx="3">
                  <c:v>0.61220000000000163</c:v>
                </c:pt>
                <c:pt idx="4">
                  <c:v>0.67570000000000363</c:v>
                </c:pt>
              </c:numCache>
            </c:numRef>
          </c:val>
        </c:ser>
        <c:dLbls>
          <c:showVal val="1"/>
        </c:dLbls>
        <c:axId val="275945344"/>
        <c:axId val="275946880"/>
      </c:barChart>
      <c:catAx>
        <c:axId val="275945344"/>
        <c:scaling>
          <c:orientation val="minMax"/>
        </c:scaling>
        <c:axPos val="l"/>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5946880"/>
        <c:crosses val="autoZero"/>
        <c:auto val="1"/>
        <c:lblAlgn val="ctr"/>
        <c:lblOffset val="100"/>
      </c:catAx>
      <c:valAx>
        <c:axId val="275946880"/>
        <c:scaling>
          <c:orientation val="minMax"/>
        </c:scaling>
        <c:axPos val="b"/>
        <c:majorGridlines/>
        <c:numFmt formatCode="0.00%" sourceLinked="1"/>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594534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8DBB01-127B-4EE6-B54F-19D7DA69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33</Pages>
  <Words>2010</Words>
  <Characters>11461</Characters>
  <Application>Microsoft Office Word</Application>
  <DocSecurity>0</DocSecurity>
  <Lines>95</Lines>
  <Paragraphs>26</Paragraphs>
  <ScaleCrop>false</ScaleCrop>
  <Company>微软中国</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851</cp:revision>
  <cp:lastPrinted>2018-05-10T00:59:00Z</cp:lastPrinted>
  <dcterms:created xsi:type="dcterms:W3CDTF">2018-04-12T00:56:00Z</dcterms:created>
  <dcterms:modified xsi:type="dcterms:W3CDTF">2018-11-05T07:16:00Z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