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rPr>
          <w:rFonts w:ascii="仿宋" w:eastAsia="仿宋" w:hAnsi="仿宋"/>
          <w:b/>
          <w:sz w:val="44"/>
          <w:szCs w:val="44"/>
        </w:rPr>
      </w:pPr>
    </w:p>
    <w:p w:rsidR="00123E46" w:rsidRDefault="00363513">
      <w:pPr>
        <w:spacing w:line="640" w:lineRule="exact"/>
        <w:jc w:val="center"/>
        <w:rPr>
          <w:rFonts w:asciiTheme="majorEastAsia" w:eastAsiaTheme="majorEastAsia" w:hAnsiTheme="majorEastAsia"/>
          <w:b/>
          <w:spacing w:val="40"/>
          <w:position w:val="6"/>
          <w:sz w:val="48"/>
          <w:szCs w:val="44"/>
        </w:rPr>
      </w:pPr>
      <w:r>
        <w:rPr>
          <w:rFonts w:asciiTheme="majorEastAsia" w:eastAsiaTheme="majorEastAsia" w:hAnsiTheme="majorEastAsia" w:hint="eastAsia"/>
          <w:b/>
          <w:spacing w:val="40"/>
          <w:position w:val="6"/>
          <w:sz w:val="48"/>
          <w:szCs w:val="44"/>
        </w:rPr>
        <w:t>长春林区中级法院</w:t>
      </w:r>
    </w:p>
    <w:p w:rsidR="00123E46" w:rsidRDefault="00123E46">
      <w:pPr>
        <w:tabs>
          <w:tab w:val="left" w:pos="4395"/>
        </w:tabs>
        <w:spacing w:line="560" w:lineRule="exact"/>
        <w:ind w:firstLineChars="400" w:firstLine="2377"/>
        <w:rPr>
          <w:rFonts w:ascii="仿宋" w:eastAsia="仿宋" w:hAnsi="仿宋"/>
          <w:b/>
          <w:spacing w:val="16"/>
          <w:position w:val="6"/>
          <w:sz w:val="56"/>
          <w:szCs w:val="32"/>
        </w:rPr>
      </w:pPr>
    </w:p>
    <w:p w:rsidR="00123E46" w:rsidRDefault="00123E46">
      <w:pPr>
        <w:tabs>
          <w:tab w:val="left" w:pos="4395"/>
        </w:tabs>
        <w:spacing w:line="560" w:lineRule="exact"/>
        <w:ind w:firstLineChars="400" w:firstLine="2377"/>
        <w:rPr>
          <w:rFonts w:ascii="仿宋" w:eastAsia="仿宋" w:hAnsi="仿宋"/>
          <w:b/>
          <w:spacing w:val="16"/>
          <w:position w:val="6"/>
          <w:sz w:val="56"/>
          <w:szCs w:val="32"/>
        </w:rPr>
      </w:pPr>
    </w:p>
    <w:p w:rsidR="00123E46" w:rsidRDefault="00123E46">
      <w:pPr>
        <w:tabs>
          <w:tab w:val="left" w:pos="4395"/>
        </w:tabs>
        <w:spacing w:line="560" w:lineRule="exact"/>
        <w:ind w:firstLineChars="400" w:firstLine="2377"/>
        <w:rPr>
          <w:rFonts w:ascii="仿宋" w:eastAsia="仿宋" w:hAnsi="仿宋"/>
          <w:b/>
          <w:spacing w:val="16"/>
          <w:position w:val="6"/>
          <w:sz w:val="56"/>
          <w:szCs w:val="32"/>
        </w:rPr>
      </w:pPr>
    </w:p>
    <w:p w:rsidR="00123E46" w:rsidRDefault="00363513">
      <w:pPr>
        <w:tabs>
          <w:tab w:val="left" w:pos="4395"/>
        </w:tabs>
        <w:spacing w:line="640" w:lineRule="exact"/>
        <w:jc w:val="center"/>
        <w:rPr>
          <w:rFonts w:asciiTheme="majorEastAsia" w:eastAsiaTheme="majorEastAsia" w:hAnsiTheme="majorEastAsia"/>
          <w:b/>
          <w:spacing w:val="26"/>
          <w:position w:val="6"/>
          <w:sz w:val="56"/>
          <w:szCs w:val="32"/>
        </w:rPr>
      </w:pPr>
      <w:r>
        <w:rPr>
          <w:rFonts w:asciiTheme="majorEastAsia" w:eastAsiaTheme="majorEastAsia" w:hAnsiTheme="majorEastAsia" w:hint="eastAsia"/>
          <w:b/>
          <w:spacing w:val="26"/>
          <w:position w:val="6"/>
          <w:sz w:val="56"/>
          <w:szCs w:val="32"/>
        </w:rPr>
        <w:t>2018年</w:t>
      </w:r>
      <w:r w:rsidR="00CA1E00">
        <w:rPr>
          <w:rFonts w:asciiTheme="majorEastAsia" w:eastAsiaTheme="majorEastAsia" w:hAnsiTheme="majorEastAsia" w:hint="eastAsia"/>
          <w:b/>
          <w:spacing w:val="26"/>
          <w:position w:val="6"/>
          <w:sz w:val="56"/>
          <w:szCs w:val="32"/>
        </w:rPr>
        <w:t>前三季度</w:t>
      </w:r>
    </w:p>
    <w:p w:rsidR="00123E46" w:rsidRDefault="00123E46">
      <w:pPr>
        <w:spacing w:line="640" w:lineRule="exact"/>
        <w:ind w:firstLineChars="250" w:firstLine="1535"/>
        <w:rPr>
          <w:rFonts w:asciiTheme="majorEastAsia" w:eastAsiaTheme="majorEastAsia" w:hAnsiTheme="majorEastAsia"/>
          <w:b/>
          <w:spacing w:val="26"/>
          <w:position w:val="6"/>
          <w:sz w:val="56"/>
          <w:szCs w:val="32"/>
        </w:rPr>
      </w:pPr>
    </w:p>
    <w:p w:rsidR="00123E46" w:rsidRDefault="00363513">
      <w:pPr>
        <w:spacing w:line="640" w:lineRule="exact"/>
        <w:jc w:val="center"/>
        <w:rPr>
          <w:rFonts w:asciiTheme="majorEastAsia" w:eastAsiaTheme="majorEastAsia" w:hAnsiTheme="majorEastAsia"/>
          <w:b/>
          <w:spacing w:val="32"/>
          <w:position w:val="6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32"/>
          <w:position w:val="6"/>
          <w:sz w:val="56"/>
          <w:szCs w:val="32"/>
        </w:rPr>
        <w:t>审判运行态势分析报告</w:t>
      </w:r>
    </w:p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640" w:lineRule="exact"/>
        <w:ind w:firstLineChars="691" w:firstLine="2775"/>
        <w:rPr>
          <w:rFonts w:asciiTheme="majorEastAsia" w:eastAsiaTheme="majorEastAsia" w:hAnsiTheme="majorEastAsia"/>
          <w:b/>
          <w:sz w:val="40"/>
          <w:szCs w:val="44"/>
        </w:rPr>
      </w:pPr>
    </w:p>
    <w:p w:rsidR="00123E46" w:rsidRDefault="00363513">
      <w:pPr>
        <w:spacing w:line="640" w:lineRule="exact"/>
        <w:ind w:firstLineChars="691" w:firstLine="2775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审判管理办公室</w:t>
      </w:r>
    </w:p>
    <w:p w:rsidR="00123E46" w:rsidRDefault="00363513">
      <w:pPr>
        <w:spacing w:line="640" w:lineRule="exact"/>
        <w:ind w:firstLineChars="542" w:firstLine="2176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二○一八年</w:t>
      </w:r>
      <w:r w:rsidR="00CA1E00">
        <w:rPr>
          <w:rFonts w:asciiTheme="majorEastAsia" w:eastAsiaTheme="majorEastAsia" w:hAnsiTheme="majorEastAsia" w:hint="eastAsia"/>
          <w:b/>
          <w:sz w:val="40"/>
          <w:szCs w:val="44"/>
        </w:rPr>
        <w:t>十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月</w:t>
      </w:r>
      <w:r w:rsidR="00CA1E00">
        <w:rPr>
          <w:rFonts w:asciiTheme="majorEastAsia" w:eastAsiaTheme="majorEastAsia" w:hAnsiTheme="majorEastAsia" w:hint="eastAsia"/>
          <w:b/>
          <w:sz w:val="40"/>
          <w:szCs w:val="44"/>
        </w:rPr>
        <w:t>十五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日</w:t>
      </w:r>
    </w:p>
    <w:p w:rsidR="00123E46" w:rsidRDefault="00123E46">
      <w:pPr>
        <w:spacing w:line="640" w:lineRule="exact"/>
        <w:ind w:firstLineChars="700" w:firstLine="2530"/>
        <w:rPr>
          <w:rFonts w:ascii="仿宋" w:eastAsia="仿宋" w:hAnsi="仿宋"/>
          <w:b/>
          <w:sz w:val="36"/>
          <w:szCs w:val="32"/>
        </w:rPr>
      </w:pPr>
    </w:p>
    <w:p w:rsidR="00004C14" w:rsidRDefault="009006F0">
      <w:pPr>
        <w:widowControl/>
        <w:jc w:val="left"/>
        <w:rPr>
          <w:rFonts w:ascii="仿宋" w:eastAsia="仿宋" w:hAnsi="仿宋"/>
          <w:b/>
          <w:sz w:val="36"/>
          <w:szCs w:val="32"/>
        </w:rPr>
        <w:sectPr w:rsidR="00004C14" w:rsidSect="00123E46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仿宋" w:eastAsia="仿宋" w:hAnsi="仿宋"/>
          <w:b/>
          <w:sz w:val="36"/>
          <w:szCs w:val="32"/>
        </w:rPr>
        <w:br w:type="page"/>
      </w:r>
    </w:p>
    <w:p w:rsidR="009006F0" w:rsidRDefault="009006F0">
      <w:pPr>
        <w:widowControl/>
        <w:jc w:val="left"/>
        <w:rPr>
          <w:rFonts w:ascii="仿宋" w:eastAsia="仿宋" w:hAnsi="仿宋"/>
          <w:b/>
          <w:sz w:val="36"/>
          <w:szCs w:val="32"/>
        </w:rPr>
      </w:pPr>
    </w:p>
    <w:p w:rsidR="009006F0" w:rsidRDefault="009006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9006F0" w:rsidSect="00123E46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根据数字法院业务应用系统提取的案件数据（除执行案件）和执行局提供的长春林区法院执行案件数据，我们对2018年</w:t>
      </w:r>
      <w:r w:rsidR="001F6E15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（2018年1月1日至2018年</w:t>
      </w:r>
      <w:r w:rsidR="001F6E15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月30</w:t>
      </w:r>
      <w:r w:rsidR="001F6E15">
        <w:rPr>
          <w:rFonts w:ascii="仿宋" w:eastAsia="仿宋" w:hAnsi="仿宋" w:hint="eastAsia"/>
          <w:sz w:val="32"/>
          <w:szCs w:val="32"/>
        </w:rPr>
        <w:t>日）长春林区两级法院审判执行工作情况进行了汇总分析。现报告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123E46" w:rsidRPr="003E19F1" w:rsidRDefault="00363513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E19F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一、长春林区两级法院审判执行工作总体情况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，两级法院旧存各类案件</w:t>
      </w:r>
      <w:r w:rsidR="0091490C">
        <w:rPr>
          <w:rFonts w:ascii="仿宋" w:eastAsia="仿宋" w:hAnsi="仿宋" w:hint="eastAsia"/>
          <w:sz w:val="32"/>
          <w:szCs w:val="32"/>
        </w:rPr>
        <w:t>52</w:t>
      </w:r>
      <w:r>
        <w:rPr>
          <w:rFonts w:ascii="仿宋" w:eastAsia="仿宋" w:hAnsi="仿宋" w:hint="eastAsia"/>
          <w:sz w:val="32"/>
          <w:szCs w:val="32"/>
        </w:rPr>
        <w:t>件, 新收</w:t>
      </w:r>
      <w:r w:rsidR="0091490C">
        <w:rPr>
          <w:rFonts w:ascii="仿宋" w:eastAsia="仿宋" w:hAnsi="仿宋" w:hint="eastAsia"/>
          <w:sz w:val="32"/>
          <w:szCs w:val="32"/>
        </w:rPr>
        <w:t>66</w:t>
      </w:r>
      <w:r w:rsidR="00CA45C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件，旧存加新收合</w:t>
      </w:r>
      <w:r w:rsidR="007D0D99">
        <w:rPr>
          <w:rFonts w:ascii="仿宋" w:eastAsia="仿宋" w:hAnsi="仿宋" w:hint="eastAsia"/>
          <w:sz w:val="32"/>
          <w:szCs w:val="32"/>
        </w:rPr>
        <w:t>计</w:t>
      </w:r>
      <w:r w:rsidR="0091490C">
        <w:rPr>
          <w:rFonts w:ascii="仿宋" w:eastAsia="仿宋" w:hAnsi="仿宋" w:hint="eastAsia"/>
          <w:sz w:val="32"/>
          <w:szCs w:val="32"/>
        </w:rPr>
        <w:t>720</w:t>
      </w:r>
      <w:r>
        <w:rPr>
          <w:rFonts w:ascii="仿宋" w:eastAsia="仿宋" w:hAnsi="仿宋" w:hint="eastAsia"/>
          <w:sz w:val="32"/>
          <w:szCs w:val="32"/>
        </w:rPr>
        <w:t>件，结案</w:t>
      </w:r>
      <w:r w:rsidR="0091490C">
        <w:rPr>
          <w:rFonts w:ascii="仿宋" w:eastAsia="仿宋" w:hAnsi="仿宋" w:hint="eastAsia"/>
          <w:sz w:val="32"/>
          <w:szCs w:val="32"/>
        </w:rPr>
        <w:t>611</w:t>
      </w:r>
      <w:r>
        <w:rPr>
          <w:rFonts w:ascii="仿宋" w:eastAsia="仿宋" w:hAnsi="仿宋" w:hint="eastAsia"/>
          <w:sz w:val="32"/>
          <w:szCs w:val="32"/>
        </w:rPr>
        <w:t>件，结案率为</w:t>
      </w:r>
      <w:r w:rsidR="0091490C">
        <w:rPr>
          <w:rFonts w:ascii="仿宋" w:eastAsia="仿宋" w:hAnsi="仿宋" w:hint="eastAsia"/>
          <w:sz w:val="32"/>
          <w:szCs w:val="32"/>
        </w:rPr>
        <w:t>84.86</w:t>
      </w:r>
      <w:r>
        <w:rPr>
          <w:rFonts w:ascii="仿宋" w:eastAsia="仿宋" w:hAnsi="仿宋" w:hint="eastAsia"/>
          <w:sz w:val="32"/>
          <w:szCs w:val="32"/>
        </w:rPr>
        <w:t>%，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未结案件</w:t>
      </w:r>
      <w:r w:rsidR="0091490C">
        <w:rPr>
          <w:rFonts w:ascii="仿宋" w:eastAsia="仿宋" w:hAnsi="仿宋" w:hint="eastAsia"/>
          <w:color w:val="000000" w:themeColor="text1"/>
          <w:sz w:val="32"/>
          <w:szCs w:val="32"/>
        </w:rPr>
        <w:t>109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与2017年</w:t>
      </w:r>
      <w:r w:rsidR="005E71EB">
        <w:rPr>
          <w:rFonts w:ascii="仿宋" w:eastAsia="仿宋" w:hAnsi="仿宋" w:hint="eastAsia"/>
          <w:sz w:val="32"/>
          <w:szCs w:val="32"/>
        </w:rPr>
        <w:t>同期</w:t>
      </w:r>
      <w:r>
        <w:rPr>
          <w:rFonts w:ascii="仿宋" w:eastAsia="仿宋" w:hAnsi="仿宋" w:hint="eastAsia"/>
          <w:sz w:val="32"/>
          <w:szCs w:val="32"/>
        </w:rPr>
        <w:t>相比，旧存减少</w:t>
      </w:r>
      <w:r w:rsidR="007D3817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件，下降3</w:t>
      </w:r>
      <w:r w:rsidR="007D381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7D3817">
        <w:rPr>
          <w:rFonts w:ascii="仿宋" w:eastAsia="仿宋" w:hAnsi="仿宋" w:hint="eastAsia"/>
          <w:sz w:val="32"/>
          <w:szCs w:val="32"/>
        </w:rPr>
        <w:t>47</w:t>
      </w:r>
      <w:r>
        <w:rPr>
          <w:rFonts w:ascii="仿宋" w:eastAsia="仿宋" w:hAnsi="仿宋" w:hint="eastAsia"/>
          <w:sz w:val="32"/>
          <w:szCs w:val="32"/>
        </w:rPr>
        <w:t>%；新收减少</w:t>
      </w:r>
      <w:r w:rsidR="00D47C6F">
        <w:rPr>
          <w:rFonts w:ascii="仿宋" w:eastAsia="仿宋" w:hAnsi="仿宋" w:hint="eastAsia"/>
          <w:sz w:val="32"/>
          <w:szCs w:val="32"/>
        </w:rPr>
        <w:t>184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D47C6F">
        <w:rPr>
          <w:rFonts w:ascii="仿宋" w:eastAsia="仿宋" w:hAnsi="仿宋" w:hint="eastAsia"/>
          <w:sz w:val="32"/>
          <w:szCs w:val="32"/>
        </w:rPr>
        <w:t>21.60</w:t>
      </w:r>
      <w:r>
        <w:rPr>
          <w:rFonts w:ascii="仿宋" w:eastAsia="仿宋" w:hAnsi="仿宋" w:hint="eastAsia"/>
          <w:sz w:val="32"/>
          <w:szCs w:val="32"/>
        </w:rPr>
        <w:t>%；旧存加新收合计减少</w:t>
      </w:r>
      <w:r w:rsidR="00D47C6F">
        <w:rPr>
          <w:rFonts w:ascii="仿宋" w:eastAsia="仿宋" w:hAnsi="仿宋" w:hint="eastAsia"/>
          <w:sz w:val="32"/>
          <w:szCs w:val="32"/>
        </w:rPr>
        <w:t>209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D47C6F">
        <w:rPr>
          <w:rFonts w:ascii="仿宋" w:eastAsia="仿宋" w:hAnsi="仿宋" w:hint="eastAsia"/>
          <w:sz w:val="32"/>
          <w:szCs w:val="32"/>
        </w:rPr>
        <w:t>22.50</w:t>
      </w:r>
      <w:r>
        <w:rPr>
          <w:rFonts w:ascii="仿宋" w:eastAsia="仿宋" w:hAnsi="仿宋" w:hint="eastAsia"/>
          <w:sz w:val="32"/>
          <w:szCs w:val="32"/>
        </w:rPr>
        <w:t>%； 结案减少</w:t>
      </w:r>
      <w:r w:rsidR="00D47C6F">
        <w:rPr>
          <w:rFonts w:ascii="仿宋" w:eastAsia="仿宋" w:hAnsi="仿宋" w:hint="eastAsia"/>
          <w:sz w:val="32"/>
          <w:szCs w:val="32"/>
        </w:rPr>
        <w:t>188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D47C6F">
        <w:rPr>
          <w:rFonts w:ascii="仿宋" w:eastAsia="仿宋" w:hAnsi="仿宋" w:hint="eastAsia"/>
          <w:sz w:val="32"/>
          <w:szCs w:val="32"/>
        </w:rPr>
        <w:t>23.53</w:t>
      </w:r>
      <w:r>
        <w:rPr>
          <w:rFonts w:ascii="仿宋" w:eastAsia="仿宋" w:hAnsi="仿宋" w:hint="eastAsia"/>
          <w:sz w:val="32"/>
          <w:szCs w:val="32"/>
        </w:rPr>
        <w:t>%；结案率</w:t>
      </w:r>
      <w:r w:rsidR="00D47C6F">
        <w:rPr>
          <w:rFonts w:ascii="仿宋" w:eastAsia="仿宋" w:hAnsi="仿宋" w:hint="eastAsia"/>
          <w:sz w:val="32"/>
          <w:szCs w:val="32"/>
        </w:rPr>
        <w:t>下降1.15</w:t>
      </w:r>
      <w:r>
        <w:rPr>
          <w:rFonts w:ascii="仿宋" w:eastAsia="仿宋" w:hAnsi="仿宋" w:hint="eastAsia"/>
          <w:sz w:val="32"/>
          <w:szCs w:val="32"/>
        </w:rPr>
        <w:t>个百分点； 未结案件减少</w:t>
      </w:r>
      <w:r w:rsidR="00D47C6F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件，下降16.</w:t>
      </w:r>
      <w:r w:rsidR="00D47C6F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%。2018年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两级法院案件收结存数量同比情况如图1所示：</w:t>
      </w:r>
    </w:p>
    <w:p w:rsidR="00123E46" w:rsidRDefault="00363513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  两级法院案件收结存数量同比情况</w:t>
      </w:r>
    </w:p>
    <w:p w:rsidR="00123E46" w:rsidRDefault="00556505">
      <w:pPr>
        <w:spacing w:line="560" w:lineRule="exact"/>
        <w:ind w:firstLineChars="200" w:firstLine="640"/>
        <w:jc w:val="center"/>
        <w:rPr>
          <w:rFonts w:ascii="仿宋" w:eastAsia="仿宋" w:hAnsi="仿宋"/>
          <w:sz w:val="28"/>
          <w:szCs w:val="28"/>
        </w:rPr>
      </w:pPr>
      <w:r w:rsidRPr="00556505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3pt;margin-top:26.15pt;width:45.45pt;height:18.45pt;z-index:251654144" stroked="f">
            <v:textbox style="mso-next-textbox:#_x0000_s1029">
              <w:txbxContent>
                <w:p w:rsidR="00040D4B" w:rsidRDefault="00040D4B">
                  <w:r>
                    <w:rPr>
                      <w:rFonts w:hint="eastAsia"/>
                    </w:rPr>
                    <w:t>3.5%</w:t>
                  </w:r>
                </w:p>
              </w:txbxContent>
            </v:textbox>
          </v:shape>
        </w:pict>
      </w:r>
      <w:r w:rsidR="00363513">
        <w:rPr>
          <w:rFonts w:ascii="仿宋" w:eastAsia="仿宋" w:hAnsi="仿宋" w:hint="eastAsia"/>
          <w:sz w:val="28"/>
          <w:szCs w:val="28"/>
        </w:rPr>
        <w:t>（单位：件）</w:t>
      </w:r>
    </w:p>
    <w:p w:rsidR="00123E46" w:rsidRDefault="00556505">
      <w:pPr>
        <w:rPr>
          <w:rFonts w:ascii="仿宋" w:eastAsia="仿宋" w:hAnsi="仿宋"/>
          <w:sz w:val="32"/>
          <w:szCs w:val="32"/>
        </w:rPr>
      </w:pPr>
      <w:r w:rsidRPr="00556505">
        <w:rPr>
          <w:sz w:val="32"/>
        </w:rPr>
        <w:pict>
          <v:shape id="_x0000_s1027" type="#_x0000_t202" style="position:absolute;left:0;text-align:left;margin-left:59.05pt;margin-top:122.5pt;width:3.55pt;height:3.55pt;z-index:251661312" stroked="f">
            <v:textbox style="mso-next-textbox:#_x0000_s1027">
              <w:txbxContent>
                <w:p w:rsidR="00040D4B" w:rsidRDefault="00040D4B"/>
              </w:txbxContent>
            </v:textbox>
          </v:shape>
        </w:pict>
      </w:r>
      <w:r w:rsidR="00363513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94655" cy="27178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，两级法院案件结收比（已结案件数/新收案件数）为</w:t>
      </w:r>
      <w:r w:rsidR="009F2599">
        <w:rPr>
          <w:rFonts w:ascii="仿宋" w:eastAsia="仿宋" w:hAnsi="仿宋" w:hint="eastAsia"/>
          <w:sz w:val="32"/>
          <w:szCs w:val="32"/>
        </w:rPr>
        <w:t>91.47</w:t>
      </w:r>
      <w:r>
        <w:rPr>
          <w:rFonts w:ascii="仿宋" w:eastAsia="仿宋" w:hAnsi="仿宋" w:hint="eastAsia"/>
          <w:sz w:val="32"/>
          <w:szCs w:val="32"/>
        </w:rPr>
        <w:t>%，</w:t>
      </w:r>
      <w:r w:rsidR="00E76D71">
        <w:rPr>
          <w:rFonts w:ascii="仿宋" w:eastAsia="仿宋" w:hAnsi="仿宋" w:hint="eastAsia"/>
          <w:sz w:val="32"/>
          <w:szCs w:val="32"/>
        </w:rPr>
        <w:t>同比</w:t>
      </w:r>
      <w:r w:rsidR="00ED465E">
        <w:rPr>
          <w:rFonts w:ascii="仿宋" w:eastAsia="仿宋" w:hAnsi="仿宋" w:hint="eastAsia"/>
          <w:sz w:val="32"/>
          <w:szCs w:val="32"/>
        </w:rPr>
        <w:t>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ED465E">
        <w:rPr>
          <w:rFonts w:ascii="仿宋" w:eastAsia="仿宋" w:hAnsi="仿宋" w:hint="eastAsia"/>
          <w:sz w:val="32"/>
          <w:szCs w:val="32"/>
        </w:rPr>
        <w:t>的</w:t>
      </w:r>
      <w:r w:rsidR="009F2599">
        <w:rPr>
          <w:rFonts w:ascii="仿宋" w:eastAsia="仿宋" w:hAnsi="仿宋" w:hint="eastAsia"/>
          <w:sz w:val="32"/>
          <w:szCs w:val="32"/>
        </w:rPr>
        <w:t>93.78</w:t>
      </w:r>
      <w:r w:rsidR="00ED465E">
        <w:rPr>
          <w:rFonts w:ascii="仿宋" w:eastAsia="仿宋" w:hAnsi="仿宋" w:hint="eastAsia"/>
          <w:sz w:val="32"/>
          <w:szCs w:val="32"/>
        </w:rPr>
        <w:t>%，</w:t>
      </w:r>
      <w:r>
        <w:rPr>
          <w:rFonts w:ascii="仿宋" w:eastAsia="仿宋" w:hAnsi="仿宋" w:hint="eastAsia"/>
          <w:sz w:val="32"/>
          <w:szCs w:val="32"/>
        </w:rPr>
        <w:t>下降</w:t>
      </w:r>
      <w:r w:rsidR="00C367C5">
        <w:rPr>
          <w:rFonts w:ascii="仿宋" w:eastAsia="仿宋" w:hAnsi="仿宋" w:hint="eastAsia"/>
          <w:sz w:val="32"/>
          <w:szCs w:val="32"/>
        </w:rPr>
        <w:t>2.31</w:t>
      </w:r>
      <w:r>
        <w:rPr>
          <w:rFonts w:ascii="仿宋" w:eastAsia="仿宋" w:hAnsi="仿宋" w:hint="eastAsia"/>
          <w:sz w:val="32"/>
          <w:szCs w:val="32"/>
        </w:rPr>
        <w:t>个百分点。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二、长春林区两级法院审判工作总体情况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，两级法院旧存审判类案件35件，新收</w:t>
      </w:r>
      <w:r w:rsidR="00604104">
        <w:rPr>
          <w:rFonts w:ascii="仿宋" w:eastAsia="仿宋" w:hAnsi="仿宋" w:hint="eastAsia"/>
          <w:sz w:val="32"/>
          <w:szCs w:val="32"/>
        </w:rPr>
        <w:t>5</w:t>
      </w:r>
      <w:r w:rsidR="00293220">
        <w:rPr>
          <w:rFonts w:ascii="仿宋" w:eastAsia="仿宋" w:hAnsi="仿宋" w:hint="eastAsia"/>
          <w:sz w:val="32"/>
          <w:szCs w:val="32"/>
        </w:rPr>
        <w:t>1</w:t>
      </w:r>
      <w:r w:rsidR="0060410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件，旧存加新收合计</w:t>
      </w:r>
      <w:r w:rsidR="00604104">
        <w:rPr>
          <w:rFonts w:ascii="仿宋" w:eastAsia="仿宋" w:hAnsi="仿宋" w:hint="eastAsia"/>
          <w:sz w:val="32"/>
          <w:szCs w:val="32"/>
        </w:rPr>
        <w:t>5</w:t>
      </w:r>
      <w:r w:rsidR="00293220">
        <w:rPr>
          <w:rFonts w:ascii="仿宋" w:eastAsia="仿宋" w:hAnsi="仿宋" w:hint="eastAsia"/>
          <w:sz w:val="32"/>
          <w:szCs w:val="32"/>
        </w:rPr>
        <w:t>5</w:t>
      </w:r>
      <w:r w:rsidR="00604104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件，结案</w:t>
      </w:r>
      <w:r w:rsidR="00604104">
        <w:rPr>
          <w:rFonts w:ascii="仿宋" w:eastAsia="仿宋" w:hAnsi="仿宋" w:hint="eastAsia"/>
          <w:sz w:val="32"/>
          <w:szCs w:val="32"/>
        </w:rPr>
        <w:t>4</w:t>
      </w:r>
      <w:r w:rsidR="00293220">
        <w:rPr>
          <w:rFonts w:ascii="仿宋" w:eastAsia="仿宋" w:hAnsi="仿宋" w:hint="eastAsia"/>
          <w:sz w:val="32"/>
          <w:szCs w:val="32"/>
        </w:rPr>
        <w:t>77</w:t>
      </w:r>
      <w:r>
        <w:rPr>
          <w:rFonts w:ascii="仿宋" w:eastAsia="仿宋" w:hAnsi="仿宋" w:hint="eastAsia"/>
          <w:sz w:val="32"/>
          <w:szCs w:val="32"/>
        </w:rPr>
        <w:t>件，未结案件</w:t>
      </w:r>
      <w:r w:rsidR="00604104">
        <w:rPr>
          <w:rFonts w:ascii="仿宋" w:eastAsia="仿宋" w:hAnsi="仿宋" w:hint="eastAsia"/>
          <w:sz w:val="32"/>
          <w:szCs w:val="32"/>
        </w:rPr>
        <w:t>7</w:t>
      </w:r>
      <w:r w:rsidR="00293220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件。结案率为</w:t>
      </w:r>
      <w:r w:rsidR="00293220">
        <w:rPr>
          <w:rFonts w:ascii="仿宋" w:eastAsia="仿宋" w:hAnsi="仿宋" w:hint="eastAsia"/>
          <w:sz w:val="32"/>
          <w:szCs w:val="32"/>
        </w:rPr>
        <w:t>86.10</w:t>
      </w:r>
      <w:r>
        <w:rPr>
          <w:rFonts w:ascii="仿宋" w:eastAsia="仿宋" w:hAnsi="仿宋" w:hint="eastAsia"/>
          <w:sz w:val="32"/>
          <w:szCs w:val="32"/>
        </w:rPr>
        <w:t>%</w:t>
      </w:r>
      <w:r w:rsidR="001B5AC5">
        <w:rPr>
          <w:rFonts w:ascii="仿宋" w:eastAsia="仿宋" w:hAnsi="仿宋" w:hint="eastAsia"/>
          <w:sz w:val="32"/>
          <w:szCs w:val="32"/>
        </w:rPr>
        <w:t>（法定审限内结案率为99.36%）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与2017年同期相比，审判类案件旧存减少</w:t>
      </w:r>
      <w:r w:rsidR="00221773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221773">
        <w:rPr>
          <w:rFonts w:ascii="仿宋" w:eastAsia="仿宋" w:hAnsi="仿宋" w:hint="eastAsia"/>
          <w:sz w:val="32"/>
          <w:szCs w:val="32"/>
        </w:rPr>
        <w:t>39.66</w:t>
      </w:r>
      <w:r>
        <w:rPr>
          <w:rFonts w:ascii="仿宋" w:eastAsia="仿宋" w:hAnsi="仿宋" w:hint="eastAsia"/>
          <w:sz w:val="32"/>
          <w:szCs w:val="32"/>
        </w:rPr>
        <w:t>%；新收减少</w:t>
      </w:r>
      <w:r w:rsidR="00221773">
        <w:rPr>
          <w:rFonts w:ascii="仿宋" w:eastAsia="仿宋" w:hAnsi="仿宋" w:hint="eastAsia"/>
          <w:sz w:val="32"/>
          <w:szCs w:val="32"/>
        </w:rPr>
        <w:t>132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221773">
        <w:rPr>
          <w:rFonts w:ascii="仿宋" w:eastAsia="仿宋" w:hAnsi="仿宋" w:hint="eastAsia"/>
          <w:sz w:val="32"/>
          <w:szCs w:val="32"/>
        </w:rPr>
        <w:t>20.28</w:t>
      </w:r>
      <w:r>
        <w:rPr>
          <w:rFonts w:ascii="仿宋" w:eastAsia="仿宋" w:hAnsi="仿宋" w:hint="eastAsia"/>
          <w:sz w:val="32"/>
          <w:szCs w:val="32"/>
        </w:rPr>
        <w:t>%；旧存加新收合计减少</w:t>
      </w:r>
      <w:r w:rsidR="00221773">
        <w:rPr>
          <w:rFonts w:ascii="仿宋" w:eastAsia="仿宋" w:hAnsi="仿宋" w:hint="eastAsia"/>
          <w:sz w:val="32"/>
          <w:szCs w:val="32"/>
        </w:rPr>
        <w:t>155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221773">
        <w:rPr>
          <w:rFonts w:ascii="仿宋" w:eastAsia="仿宋" w:hAnsi="仿宋" w:hint="eastAsia"/>
          <w:sz w:val="32"/>
          <w:szCs w:val="32"/>
        </w:rPr>
        <w:t>21.86</w:t>
      </w:r>
      <w:r>
        <w:rPr>
          <w:rFonts w:ascii="仿宋" w:eastAsia="仿宋" w:hAnsi="仿宋" w:hint="eastAsia"/>
          <w:sz w:val="32"/>
          <w:szCs w:val="32"/>
        </w:rPr>
        <w:t>%；结案减少</w:t>
      </w:r>
      <w:r w:rsidR="00C41A23">
        <w:rPr>
          <w:rFonts w:ascii="仿宋" w:eastAsia="仿宋" w:hAnsi="仿宋" w:hint="eastAsia"/>
          <w:sz w:val="32"/>
          <w:szCs w:val="32"/>
        </w:rPr>
        <w:t>156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C41A23">
        <w:rPr>
          <w:rFonts w:ascii="仿宋" w:eastAsia="仿宋" w:hAnsi="仿宋" w:hint="eastAsia"/>
          <w:sz w:val="32"/>
          <w:szCs w:val="32"/>
        </w:rPr>
        <w:t>24.64</w:t>
      </w:r>
      <w:r>
        <w:rPr>
          <w:rFonts w:ascii="仿宋" w:eastAsia="仿宋" w:hAnsi="仿宋" w:hint="eastAsia"/>
          <w:sz w:val="32"/>
          <w:szCs w:val="32"/>
        </w:rPr>
        <w:t>%；结案率</w:t>
      </w:r>
      <w:r w:rsidR="008660CC">
        <w:rPr>
          <w:rFonts w:ascii="仿宋" w:eastAsia="仿宋" w:hAnsi="仿宋" w:hint="eastAsia"/>
          <w:sz w:val="32"/>
          <w:szCs w:val="32"/>
        </w:rPr>
        <w:t>下降</w:t>
      </w:r>
      <w:r w:rsidR="00C41A23">
        <w:rPr>
          <w:rFonts w:ascii="仿宋" w:eastAsia="仿宋" w:hAnsi="仿宋" w:hint="eastAsia"/>
          <w:sz w:val="32"/>
          <w:szCs w:val="32"/>
        </w:rPr>
        <w:t>3.18</w:t>
      </w:r>
      <w:r>
        <w:rPr>
          <w:rFonts w:ascii="仿宋" w:eastAsia="仿宋" w:hAnsi="仿宋" w:hint="eastAsia"/>
          <w:sz w:val="32"/>
          <w:szCs w:val="32"/>
        </w:rPr>
        <w:t>个百分点；未结案件</w:t>
      </w:r>
      <w:r w:rsidR="00C41A23">
        <w:rPr>
          <w:rFonts w:ascii="仿宋" w:eastAsia="仿宋" w:hAnsi="仿宋" w:hint="eastAsia"/>
          <w:sz w:val="32"/>
          <w:szCs w:val="32"/>
        </w:rPr>
        <w:t>增加</w:t>
      </w:r>
      <w:r w:rsidR="004954A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7D3A2E">
        <w:rPr>
          <w:rFonts w:ascii="仿宋" w:eastAsia="仿宋" w:hAnsi="仿宋" w:hint="eastAsia"/>
          <w:sz w:val="32"/>
          <w:szCs w:val="32"/>
        </w:rPr>
        <w:t>上升</w:t>
      </w:r>
      <w:r w:rsidR="004954AB">
        <w:rPr>
          <w:rFonts w:ascii="仿宋" w:eastAsia="仿宋" w:hAnsi="仿宋" w:hint="eastAsia"/>
          <w:sz w:val="32"/>
          <w:szCs w:val="32"/>
        </w:rPr>
        <w:t>1.32</w:t>
      </w:r>
      <w:r>
        <w:rPr>
          <w:rFonts w:ascii="仿宋" w:eastAsia="仿宋" w:hAnsi="仿宋" w:hint="eastAsia"/>
          <w:sz w:val="32"/>
          <w:szCs w:val="32"/>
        </w:rPr>
        <w:t>%。2018年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两级法院审判类案件收结存数量同比情况如图2所示：</w:t>
      </w:r>
    </w:p>
    <w:p w:rsidR="00123E46" w:rsidRDefault="00363513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图2  长春林区两级法院审判类案件收结存数量同比情况</w:t>
      </w:r>
    </w:p>
    <w:p w:rsidR="00123E46" w:rsidRDefault="0036351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（单位：件）</w:t>
      </w:r>
    </w:p>
    <w:p w:rsidR="00123E46" w:rsidRDefault="0036351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140960" cy="2648585"/>
            <wp:effectExtent l="0" t="0" r="0" b="0"/>
            <wp:docPr id="15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3B2F" w:rsidRDefault="001A3B2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B51F4" w:rsidRDefault="00FB51F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2018年</w:t>
      </w:r>
      <w:r w:rsidR="00604104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，两级法院审判类案件结案率为</w:t>
      </w:r>
      <w:r w:rsidR="00073182">
        <w:rPr>
          <w:rFonts w:ascii="仿宋" w:eastAsia="仿宋" w:hAnsi="仿宋" w:hint="eastAsia"/>
          <w:color w:val="000000" w:themeColor="text1"/>
          <w:sz w:val="32"/>
          <w:szCs w:val="32"/>
        </w:rPr>
        <w:t>86.10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%，</w:t>
      </w:r>
      <w:r w:rsidR="00506494">
        <w:rPr>
          <w:rFonts w:ascii="仿宋" w:eastAsia="仿宋" w:hAnsi="仿宋" w:hint="eastAsia"/>
          <w:color w:val="000000" w:themeColor="text1"/>
          <w:sz w:val="32"/>
          <w:szCs w:val="32"/>
        </w:rPr>
        <w:t>同比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2017年</w:t>
      </w:r>
      <w:r w:rsidR="00604104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3182">
        <w:rPr>
          <w:rFonts w:ascii="仿宋" w:eastAsia="仿宋" w:hAnsi="仿宋" w:hint="eastAsia"/>
          <w:color w:val="000000" w:themeColor="text1"/>
          <w:sz w:val="32"/>
          <w:szCs w:val="32"/>
        </w:rPr>
        <w:t>89.28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%，</w:t>
      </w:r>
      <w:r w:rsidR="008660CC">
        <w:rPr>
          <w:rFonts w:ascii="仿宋" w:eastAsia="仿宋" w:hAnsi="仿宋" w:hint="eastAsia"/>
          <w:color w:val="000000" w:themeColor="text1"/>
          <w:sz w:val="32"/>
          <w:szCs w:val="32"/>
        </w:rPr>
        <w:t>下降</w:t>
      </w:r>
      <w:r w:rsidR="00073182">
        <w:rPr>
          <w:rFonts w:ascii="仿宋" w:eastAsia="仿宋" w:hAnsi="仿宋" w:hint="eastAsia"/>
          <w:color w:val="000000" w:themeColor="text1"/>
          <w:sz w:val="32"/>
          <w:szCs w:val="32"/>
        </w:rPr>
        <w:t>3.18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个百分点。</w:t>
      </w:r>
      <w:r>
        <w:rPr>
          <w:rFonts w:ascii="仿宋" w:eastAsia="仿宋" w:hAnsi="仿宋" w:hint="eastAsia"/>
          <w:sz w:val="32"/>
          <w:szCs w:val="32"/>
        </w:rPr>
        <w:t>白石山院审判类案件结案率为</w:t>
      </w:r>
      <w:r w:rsidR="004D7841">
        <w:rPr>
          <w:rFonts w:ascii="仿宋" w:eastAsia="仿宋" w:hAnsi="仿宋" w:hint="eastAsia"/>
          <w:sz w:val="32"/>
          <w:szCs w:val="32"/>
        </w:rPr>
        <w:t>78.13</w:t>
      </w:r>
      <w:r>
        <w:rPr>
          <w:rFonts w:ascii="仿宋" w:eastAsia="仿宋" w:hAnsi="仿宋" w:hint="eastAsia"/>
          <w:sz w:val="32"/>
          <w:szCs w:val="32"/>
        </w:rPr>
        <w:t>%，</w:t>
      </w:r>
      <w:r w:rsidR="00613D48">
        <w:rPr>
          <w:rFonts w:ascii="仿宋" w:eastAsia="仿宋" w:hAnsi="仿宋" w:hint="eastAsia"/>
          <w:sz w:val="32"/>
          <w:szCs w:val="32"/>
        </w:rPr>
        <w:t>抚松</w:t>
      </w:r>
      <w:r>
        <w:rPr>
          <w:rFonts w:ascii="仿宋" w:eastAsia="仿宋" w:hAnsi="仿宋" w:hint="eastAsia"/>
          <w:sz w:val="32"/>
          <w:szCs w:val="32"/>
        </w:rPr>
        <w:t>院审判类案件结案率为</w:t>
      </w:r>
      <w:r w:rsidR="004D7841">
        <w:rPr>
          <w:rFonts w:ascii="仿宋" w:eastAsia="仿宋" w:hAnsi="仿宋" w:hint="eastAsia"/>
          <w:sz w:val="32"/>
          <w:szCs w:val="32"/>
        </w:rPr>
        <w:t>81.94</w:t>
      </w:r>
      <w:r>
        <w:rPr>
          <w:rFonts w:ascii="仿宋" w:eastAsia="仿宋" w:hAnsi="仿宋" w:hint="eastAsia"/>
          <w:sz w:val="32"/>
          <w:szCs w:val="32"/>
        </w:rPr>
        <w:t>%，其他各院审判类案件结案率均超过两级法院审判类案件平均结案率。各院结案率情况如图3所示：</w:t>
      </w:r>
    </w:p>
    <w:p w:rsidR="00123E46" w:rsidRDefault="00363513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图3  各院结案率情况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137795</wp:posOffset>
            </wp:positionV>
            <wp:extent cx="5374005" cy="2889885"/>
            <wp:effectExtent l="0" t="0" r="0" b="0"/>
            <wp:wrapNone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123E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B51F4" w:rsidRDefault="00FB51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，两级法院审判类案件平均审理天数为</w:t>
      </w:r>
      <w:r w:rsidR="00C44EC8">
        <w:rPr>
          <w:rFonts w:ascii="仿宋" w:eastAsia="仿宋" w:hAnsi="仿宋" w:hint="eastAsia"/>
          <w:sz w:val="32"/>
          <w:szCs w:val="32"/>
        </w:rPr>
        <w:t>30.5</w:t>
      </w:r>
      <w:r>
        <w:rPr>
          <w:rFonts w:ascii="仿宋" w:eastAsia="仿宋" w:hAnsi="仿宋" w:hint="eastAsia"/>
          <w:sz w:val="32"/>
          <w:szCs w:val="32"/>
        </w:rPr>
        <w:t>天（</w:t>
      </w:r>
      <w:r w:rsidRPr="00023B0E">
        <w:rPr>
          <w:rFonts w:ascii="仿宋" w:eastAsia="仿宋" w:hAnsi="仿宋" w:hint="eastAsia"/>
          <w:color w:val="000000" w:themeColor="text1"/>
          <w:sz w:val="32"/>
          <w:szCs w:val="32"/>
        </w:rPr>
        <w:t>包含扣除审限天数的平均审理天数为</w:t>
      </w:r>
      <w:r w:rsidR="00D63F0E" w:rsidRPr="00023B0E">
        <w:rPr>
          <w:rFonts w:ascii="仿宋" w:eastAsia="仿宋" w:hAnsi="仿宋" w:hint="eastAsia"/>
          <w:color w:val="000000" w:themeColor="text1"/>
          <w:sz w:val="32"/>
          <w:szCs w:val="32"/>
        </w:rPr>
        <w:t>37.4</w:t>
      </w:r>
      <w:r w:rsidRPr="00023B0E">
        <w:rPr>
          <w:rFonts w:ascii="仿宋" w:eastAsia="仿宋" w:hAnsi="仿宋" w:hint="eastAsia"/>
          <w:color w:val="000000" w:themeColor="text1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B920C1">
        <w:rPr>
          <w:rFonts w:ascii="仿宋" w:eastAsia="仿宋" w:hAnsi="仿宋" w:hint="eastAsia"/>
          <w:color w:val="000000" w:themeColor="text1"/>
          <w:sz w:val="32"/>
          <w:szCs w:val="32"/>
        </w:rPr>
        <w:t>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比2017年</w:t>
      </w:r>
      <w:r w:rsidR="00604104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44EC8">
        <w:rPr>
          <w:rFonts w:ascii="仿宋" w:eastAsia="仿宋" w:hAnsi="仿宋" w:hint="eastAsia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天（</w:t>
      </w:r>
      <w:r w:rsidRPr="00C221FB">
        <w:rPr>
          <w:rFonts w:ascii="仿宋" w:eastAsia="仿宋" w:hAnsi="仿宋" w:hint="eastAsia"/>
          <w:color w:val="000000" w:themeColor="text1"/>
          <w:sz w:val="32"/>
          <w:szCs w:val="32"/>
        </w:rPr>
        <w:t>包含扣除审限天数的平均审理天数为</w:t>
      </w:r>
      <w:r w:rsidR="00C221FB" w:rsidRPr="00C221FB">
        <w:rPr>
          <w:rFonts w:ascii="仿宋" w:eastAsia="仿宋" w:hAnsi="仿宋" w:hint="eastAsia"/>
          <w:color w:val="000000" w:themeColor="text1"/>
          <w:sz w:val="32"/>
          <w:szCs w:val="32"/>
        </w:rPr>
        <w:t>59.5</w:t>
      </w:r>
      <w:r w:rsidRPr="00C221FB">
        <w:rPr>
          <w:rFonts w:ascii="仿宋" w:eastAsia="仿宋" w:hAnsi="仿宋" w:hint="eastAsia"/>
          <w:color w:val="000000" w:themeColor="text1"/>
          <w:sz w:val="32"/>
          <w:szCs w:val="32"/>
        </w:rPr>
        <w:t>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），减少</w:t>
      </w:r>
      <w:r w:rsidR="00C44EC8">
        <w:rPr>
          <w:rFonts w:ascii="仿宋" w:eastAsia="仿宋" w:hAnsi="仿宋" w:hint="eastAsia"/>
          <w:color w:val="000000" w:themeColor="text1"/>
          <w:sz w:val="32"/>
          <w:szCs w:val="32"/>
        </w:rPr>
        <w:t>2.5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天。各主要类型案件平均审理时长为：民事一审案件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32.3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天，民事二审案件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31.1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天，刑事一审案件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21.8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天，刑事二审案件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32.6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天，行政一审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63.4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天，行政二审案件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28.4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天，审查监督案件</w:t>
      </w:r>
      <w:r w:rsidR="00023B0E">
        <w:rPr>
          <w:rFonts w:ascii="仿宋" w:eastAsia="仿宋" w:hAnsi="仿宋" w:hint="eastAsia"/>
          <w:color w:val="000000" w:themeColor="text1"/>
          <w:sz w:val="32"/>
          <w:szCs w:val="32"/>
        </w:rPr>
        <w:t>59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天（</w:t>
      </w:r>
      <w:r w:rsidRPr="00C221FB">
        <w:rPr>
          <w:rFonts w:ascii="仿宋" w:eastAsia="仿宋" w:hAnsi="仿宋" w:hint="eastAsia"/>
          <w:color w:val="000000" w:themeColor="text1"/>
          <w:sz w:val="32"/>
          <w:szCs w:val="32"/>
        </w:rPr>
        <w:t>均未包含扣除审限天数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）。两级法院审判类案件平均审理时长如图4所示：</w:t>
      </w:r>
    </w:p>
    <w:p w:rsidR="00123E46" w:rsidRDefault="00363513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图4  两级法院主要类型案件平均审理时长</w:t>
      </w:r>
    </w:p>
    <w:p w:rsidR="00123E46" w:rsidRDefault="0036351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（单位：天）</w:t>
      </w:r>
    </w:p>
    <w:p w:rsidR="00123E46" w:rsidRDefault="0036351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907915" cy="266509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三、两级法院新收审判类案件情况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，两级法院共新收审判类案件</w:t>
      </w:r>
      <w:r w:rsidR="00390587">
        <w:rPr>
          <w:rFonts w:ascii="仿宋" w:eastAsia="仿宋" w:hAnsi="仿宋" w:hint="eastAsia"/>
          <w:sz w:val="32"/>
          <w:szCs w:val="32"/>
        </w:rPr>
        <w:t>51</w:t>
      </w:r>
      <w:r w:rsidR="00C6658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件，与2017年</w:t>
      </w:r>
      <w:r w:rsidR="005E71EB">
        <w:rPr>
          <w:rFonts w:ascii="仿宋" w:eastAsia="仿宋" w:hAnsi="仿宋" w:hint="eastAsia"/>
          <w:sz w:val="32"/>
          <w:szCs w:val="32"/>
        </w:rPr>
        <w:t>同期</w:t>
      </w:r>
      <w:r>
        <w:rPr>
          <w:rFonts w:ascii="仿宋" w:eastAsia="仿宋" w:hAnsi="仿宋" w:hint="eastAsia"/>
          <w:sz w:val="32"/>
          <w:szCs w:val="32"/>
        </w:rPr>
        <w:t>新收</w:t>
      </w:r>
      <w:r w:rsidR="006933D1">
        <w:rPr>
          <w:rFonts w:ascii="仿宋" w:eastAsia="仿宋" w:hAnsi="仿宋" w:hint="eastAsia"/>
          <w:sz w:val="32"/>
          <w:szCs w:val="32"/>
        </w:rPr>
        <w:t>的</w:t>
      </w:r>
      <w:r w:rsidR="00390587">
        <w:rPr>
          <w:rFonts w:ascii="仿宋" w:eastAsia="仿宋" w:hAnsi="仿宋" w:hint="eastAsia"/>
          <w:sz w:val="32"/>
          <w:szCs w:val="32"/>
        </w:rPr>
        <w:t>651</w:t>
      </w:r>
      <w:r>
        <w:rPr>
          <w:rFonts w:ascii="仿宋" w:eastAsia="仿宋" w:hAnsi="仿宋" w:hint="eastAsia"/>
          <w:sz w:val="32"/>
          <w:szCs w:val="32"/>
        </w:rPr>
        <w:t>件相比，减少</w:t>
      </w:r>
      <w:r w:rsidR="00022E5B">
        <w:rPr>
          <w:rFonts w:ascii="仿宋" w:eastAsia="仿宋" w:hAnsi="仿宋" w:hint="eastAsia"/>
          <w:sz w:val="32"/>
          <w:szCs w:val="32"/>
        </w:rPr>
        <w:t>132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022E5B">
        <w:rPr>
          <w:rFonts w:ascii="仿宋" w:eastAsia="仿宋" w:hAnsi="仿宋" w:hint="eastAsia"/>
          <w:sz w:val="32"/>
          <w:szCs w:val="32"/>
        </w:rPr>
        <w:t>20.28</w:t>
      </w:r>
      <w:r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其中，新收一审案件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438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件（民事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件，刑事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125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件，行政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件），同比2017年</w:t>
      </w:r>
      <w:r w:rsidR="00604104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459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件，下降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4.58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%；新收二审案件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61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件（民事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45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件，刑事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件，行政</w:t>
      </w:r>
      <w:r w:rsidR="007F46EC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件），同比2017年</w:t>
      </w:r>
      <w:r w:rsidR="00604104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53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件，上升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15.09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%；新收再审案件2件（民事1件，刑事1件），同比2017年</w:t>
      </w:r>
      <w:r w:rsidR="00604104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下降33.33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360513">
        <w:rPr>
          <w:rFonts w:ascii="仿宋" w:eastAsia="仿宋" w:hAnsi="仿宋" w:hint="eastAsia"/>
          <w:color w:val="000000" w:themeColor="text1"/>
          <w:sz w:val="32"/>
          <w:szCs w:val="32"/>
        </w:rPr>
        <w:t>，新收审查监督案件6件（民事3件，刑事3件），同比2017年前三季度的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360513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781740">
        <w:rPr>
          <w:rFonts w:ascii="仿宋" w:eastAsia="仿宋" w:hAnsi="仿宋" w:hint="eastAsia"/>
          <w:color w:val="000000" w:themeColor="text1"/>
          <w:sz w:val="32"/>
          <w:szCs w:val="32"/>
        </w:rPr>
        <w:t>下降</w:t>
      </w:r>
      <w:r w:rsidR="006F6661">
        <w:rPr>
          <w:rFonts w:ascii="仿宋" w:eastAsia="仿宋" w:hAnsi="仿宋" w:hint="eastAsia"/>
          <w:color w:val="000000" w:themeColor="text1"/>
          <w:sz w:val="32"/>
          <w:szCs w:val="32"/>
        </w:rPr>
        <w:t>64.71</w:t>
      </w:r>
      <w:r w:rsidR="00360513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23E46" w:rsidRDefault="00363513">
      <w:pPr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(一) 各院新收审判类案件占两级法院比例情况</w:t>
      </w:r>
    </w:p>
    <w:p w:rsidR="00123E46" w:rsidRDefault="00363513" w:rsidP="00876A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按新收案件占两级法院新收案件的比例排序，</w:t>
      </w:r>
      <w:r w:rsidR="006933D1">
        <w:rPr>
          <w:rFonts w:ascii="仿宋" w:eastAsia="仿宋" w:hAnsi="仿宋" w:hint="eastAsia"/>
          <w:sz w:val="32"/>
          <w:szCs w:val="32"/>
        </w:rPr>
        <w:t>由高到低分别</w:t>
      </w:r>
      <w:r>
        <w:rPr>
          <w:rFonts w:ascii="仿宋" w:eastAsia="仿宋" w:hAnsi="仿宋" w:hint="eastAsia"/>
          <w:sz w:val="32"/>
          <w:szCs w:val="32"/>
        </w:rPr>
        <w:t>为</w:t>
      </w:r>
      <w:r w:rsidR="00FC278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抚松院</w:t>
      </w:r>
      <w:r w:rsidR="00D60456">
        <w:rPr>
          <w:rFonts w:ascii="仿宋" w:eastAsia="仿宋" w:hAnsi="仿宋" w:hint="eastAsia"/>
          <w:sz w:val="32"/>
          <w:szCs w:val="32"/>
        </w:rPr>
        <w:t>2</w:t>
      </w:r>
      <w:r w:rsidR="00EF6DAE">
        <w:rPr>
          <w:rFonts w:ascii="仿宋" w:eastAsia="仿宋" w:hAnsi="仿宋" w:hint="eastAsia"/>
          <w:sz w:val="32"/>
          <w:szCs w:val="32"/>
        </w:rPr>
        <w:t>6.97</w:t>
      </w:r>
      <w:r>
        <w:rPr>
          <w:rFonts w:ascii="仿宋" w:eastAsia="仿宋" w:hAnsi="仿宋" w:hint="eastAsia"/>
          <w:sz w:val="32"/>
          <w:szCs w:val="32"/>
        </w:rPr>
        <w:t>%、红石院</w:t>
      </w:r>
      <w:r w:rsidR="00EF6DAE">
        <w:rPr>
          <w:rFonts w:ascii="仿宋" w:eastAsia="仿宋" w:hAnsi="仿宋" w:hint="eastAsia"/>
          <w:sz w:val="32"/>
          <w:szCs w:val="32"/>
        </w:rPr>
        <w:t>19.85</w:t>
      </w:r>
      <w:r>
        <w:rPr>
          <w:rFonts w:ascii="仿宋" w:eastAsia="仿宋" w:hAnsi="仿宋" w:hint="eastAsia"/>
          <w:sz w:val="32"/>
          <w:szCs w:val="32"/>
        </w:rPr>
        <w:t>%、</w:t>
      </w:r>
      <w:r w:rsidR="00D60456">
        <w:rPr>
          <w:rFonts w:ascii="仿宋" w:eastAsia="仿宋" w:hAnsi="仿宋" w:hint="eastAsia"/>
          <w:sz w:val="32"/>
          <w:szCs w:val="32"/>
        </w:rPr>
        <w:t>中院</w:t>
      </w:r>
      <w:r w:rsidR="00EF6DAE">
        <w:rPr>
          <w:rFonts w:ascii="仿宋" w:eastAsia="仿宋" w:hAnsi="仿宋" w:hint="eastAsia"/>
          <w:sz w:val="32"/>
          <w:szCs w:val="32"/>
        </w:rPr>
        <w:t>15.22</w:t>
      </w:r>
      <w:r>
        <w:rPr>
          <w:rFonts w:ascii="仿宋" w:eastAsia="仿宋" w:hAnsi="仿宋" w:hint="eastAsia"/>
          <w:sz w:val="32"/>
          <w:szCs w:val="32"/>
        </w:rPr>
        <w:t>%、</w:t>
      </w:r>
      <w:r w:rsidR="00D60456">
        <w:rPr>
          <w:rFonts w:ascii="仿宋" w:eastAsia="仿宋" w:hAnsi="仿宋" w:hint="eastAsia"/>
          <w:sz w:val="32"/>
          <w:szCs w:val="32"/>
        </w:rPr>
        <w:t>江源</w:t>
      </w:r>
      <w:r>
        <w:rPr>
          <w:rFonts w:ascii="仿宋" w:eastAsia="仿宋" w:hAnsi="仿宋" w:hint="eastAsia"/>
          <w:sz w:val="32"/>
          <w:szCs w:val="32"/>
        </w:rPr>
        <w:t>院</w:t>
      </w:r>
      <w:r w:rsidR="003F750D">
        <w:rPr>
          <w:rFonts w:ascii="仿宋" w:eastAsia="仿宋" w:hAnsi="仿宋" w:hint="eastAsia"/>
          <w:sz w:val="32"/>
          <w:szCs w:val="32"/>
        </w:rPr>
        <w:t>14.</w:t>
      </w:r>
      <w:r w:rsidR="00EF6DAE">
        <w:rPr>
          <w:rFonts w:ascii="仿宋" w:eastAsia="仿宋" w:hAnsi="仿宋" w:hint="eastAsia"/>
          <w:sz w:val="32"/>
          <w:szCs w:val="32"/>
        </w:rPr>
        <w:t>64</w:t>
      </w:r>
      <w:r>
        <w:rPr>
          <w:rFonts w:ascii="仿宋" w:eastAsia="仿宋" w:hAnsi="仿宋" w:hint="eastAsia"/>
          <w:sz w:val="32"/>
          <w:szCs w:val="32"/>
        </w:rPr>
        <w:t>%、</w:t>
      </w:r>
      <w:r w:rsidR="00D60456">
        <w:rPr>
          <w:rFonts w:ascii="仿宋" w:eastAsia="仿宋" w:hAnsi="仿宋" w:hint="eastAsia"/>
          <w:sz w:val="32"/>
          <w:szCs w:val="32"/>
        </w:rPr>
        <w:t>临江</w:t>
      </w:r>
      <w:r>
        <w:rPr>
          <w:rFonts w:ascii="仿宋" w:eastAsia="仿宋" w:hAnsi="仿宋" w:hint="eastAsia"/>
          <w:sz w:val="32"/>
          <w:szCs w:val="32"/>
        </w:rPr>
        <w:t>院</w:t>
      </w:r>
      <w:r w:rsidR="003F750D">
        <w:rPr>
          <w:rFonts w:ascii="仿宋" w:eastAsia="仿宋" w:hAnsi="仿宋" w:hint="eastAsia"/>
          <w:sz w:val="32"/>
          <w:szCs w:val="32"/>
        </w:rPr>
        <w:t>1</w:t>
      </w:r>
      <w:r w:rsidR="00EF6DAE">
        <w:rPr>
          <w:rFonts w:ascii="仿宋" w:eastAsia="仿宋" w:hAnsi="仿宋" w:hint="eastAsia"/>
          <w:sz w:val="32"/>
          <w:szCs w:val="32"/>
        </w:rPr>
        <w:t>1.75</w:t>
      </w:r>
      <w:r>
        <w:rPr>
          <w:rFonts w:ascii="仿宋" w:eastAsia="仿宋" w:hAnsi="仿宋" w:hint="eastAsia"/>
          <w:sz w:val="32"/>
          <w:szCs w:val="32"/>
        </w:rPr>
        <w:t>%</w:t>
      </w:r>
      <w:r w:rsidR="003F750D">
        <w:rPr>
          <w:rFonts w:ascii="仿宋" w:eastAsia="仿宋" w:hAnsi="仿宋" w:hint="eastAsia"/>
          <w:sz w:val="32"/>
          <w:szCs w:val="32"/>
        </w:rPr>
        <w:t>、白石山院</w:t>
      </w:r>
      <w:r w:rsidR="00EF6DAE">
        <w:rPr>
          <w:rFonts w:ascii="仿宋" w:eastAsia="仿宋" w:hAnsi="仿宋" w:hint="eastAsia"/>
          <w:sz w:val="32"/>
          <w:szCs w:val="32"/>
        </w:rPr>
        <w:t>11.56</w:t>
      </w:r>
      <w:r w:rsidR="003F750D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。各院新收审判类案件占两级法院比例情况如图5所示：</w:t>
      </w:r>
    </w:p>
    <w:p w:rsidR="00123E46" w:rsidRDefault="00363513">
      <w:pPr>
        <w:ind w:left="64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图5  各院新收审判类案件占两级法院比例情况</w:t>
      </w:r>
    </w:p>
    <w:p w:rsidR="00123E46" w:rsidRDefault="00363513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4751070" cy="281178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（二）各院新收审判类案件同比情况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与2017年</w:t>
      </w:r>
      <w:r w:rsidR="00203D07">
        <w:rPr>
          <w:rFonts w:ascii="仿宋" w:eastAsia="仿宋" w:hAnsi="仿宋" w:hint="eastAsia"/>
          <w:sz w:val="32"/>
          <w:szCs w:val="32"/>
        </w:rPr>
        <w:t>同期</w:t>
      </w:r>
      <w:r>
        <w:rPr>
          <w:rFonts w:ascii="仿宋" w:eastAsia="仿宋" w:hAnsi="仿宋" w:hint="eastAsia"/>
          <w:sz w:val="32"/>
          <w:szCs w:val="32"/>
        </w:rPr>
        <w:t>相比，</w:t>
      </w:r>
      <w:r w:rsidR="00EA559C">
        <w:rPr>
          <w:rFonts w:ascii="仿宋" w:eastAsia="仿宋" w:hAnsi="仿宋" w:hint="eastAsia"/>
          <w:sz w:val="32"/>
          <w:szCs w:val="32"/>
        </w:rPr>
        <w:t>中院和</w:t>
      </w:r>
      <w:r w:rsidR="008B07FC">
        <w:rPr>
          <w:rFonts w:ascii="仿宋" w:eastAsia="仿宋" w:hAnsi="仿宋" w:hint="eastAsia"/>
          <w:sz w:val="32"/>
          <w:szCs w:val="32"/>
        </w:rPr>
        <w:t>抚松院</w:t>
      </w:r>
      <w:r w:rsidR="00EA559C">
        <w:rPr>
          <w:rFonts w:ascii="仿宋" w:eastAsia="仿宋" w:hAnsi="仿宋" w:hint="eastAsia"/>
          <w:sz w:val="32"/>
          <w:szCs w:val="32"/>
        </w:rPr>
        <w:t>新收审判类案件</w:t>
      </w:r>
      <w:r w:rsidR="00E54C70">
        <w:rPr>
          <w:rFonts w:ascii="仿宋" w:eastAsia="仿宋" w:hAnsi="仿宋" w:hint="eastAsia"/>
          <w:sz w:val="32"/>
          <w:szCs w:val="32"/>
        </w:rPr>
        <w:t>数量</w:t>
      </w:r>
      <w:r w:rsidR="008B07FC">
        <w:rPr>
          <w:rFonts w:ascii="仿宋" w:eastAsia="仿宋" w:hAnsi="仿宋" w:hint="eastAsia"/>
          <w:sz w:val="32"/>
          <w:szCs w:val="32"/>
        </w:rPr>
        <w:t>上升幅度较大，分别上升</w:t>
      </w:r>
      <w:r w:rsidR="004E5266">
        <w:rPr>
          <w:rFonts w:ascii="仿宋" w:eastAsia="仿宋" w:hAnsi="仿宋" w:hint="eastAsia"/>
          <w:sz w:val="32"/>
          <w:szCs w:val="32"/>
        </w:rPr>
        <w:t>27.42</w:t>
      </w:r>
      <w:r w:rsidR="008B07FC">
        <w:rPr>
          <w:rFonts w:ascii="仿宋" w:eastAsia="仿宋" w:hAnsi="仿宋" w:hint="eastAsia"/>
          <w:sz w:val="32"/>
          <w:szCs w:val="32"/>
        </w:rPr>
        <w:t>%、</w:t>
      </w:r>
      <w:r w:rsidR="004E5266">
        <w:rPr>
          <w:rFonts w:ascii="仿宋" w:eastAsia="仿宋" w:hAnsi="仿宋" w:hint="eastAsia"/>
          <w:sz w:val="32"/>
          <w:szCs w:val="32"/>
        </w:rPr>
        <w:t>25</w:t>
      </w:r>
      <w:r w:rsidR="008B07FC">
        <w:rPr>
          <w:rFonts w:ascii="仿宋" w:eastAsia="仿宋" w:hAnsi="仿宋" w:hint="eastAsia"/>
          <w:sz w:val="32"/>
          <w:szCs w:val="32"/>
        </w:rPr>
        <w:t>%。</w:t>
      </w:r>
      <w:r w:rsidR="00EB27DF">
        <w:rPr>
          <w:rFonts w:ascii="仿宋" w:eastAsia="仿宋" w:hAnsi="仿宋" w:hint="eastAsia"/>
          <w:sz w:val="32"/>
          <w:szCs w:val="32"/>
        </w:rPr>
        <w:t>红石院新收审判类案件下降幅度较大，下降</w:t>
      </w:r>
      <w:r w:rsidR="004E5266">
        <w:rPr>
          <w:rFonts w:ascii="仿宋" w:eastAsia="仿宋" w:hAnsi="仿宋" w:hint="eastAsia"/>
          <w:sz w:val="32"/>
          <w:szCs w:val="32"/>
        </w:rPr>
        <w:t>62.27</w:t>
      </w:r>
      <w:r w:rsidR="00EB27DF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。各院新收审判类案件同比情况如图6所示：</w:t>
      </w:r>
    </w:p>
    <w:p w:rsidR="00123E46" w:rsidRDefault="00363513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图6 各院新收审判类案件同比情况 （单位：件）</w:t>
      </w:r>
    </w:p>
    <w:p w:rsidR="00123E46" w:rsidRDefault="003635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321935" cy="313118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四、两级法院审结审判类案件情况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，两级法院共审结审判类案件</w:t>
      </w:r>
      <w:r w:rsidR="006468F9">
        <w:rPr>
          <w:rFonts w:ascii="仿宋" w:eastAsia="仿宋" w:hAnsi="仿宋" w:hint="eastAsia"/>
          <w:sz w:val="32"/>
          <w:szCs w:val="32"/>
        </w:rPr>
        <w:t>477</w:t>
      </w:r>
      <w:r>
        <w:rPr>
          <w:rFonts w:ascii="仿宋" w:eastAsia="仿宋" w:hAnsi="仿宋" w:hint="eastAsia"/>
          <w:sz w:val="32"/>
          <w:szCs w:val="32"/>
        </w:rPr>
        <w:t>件，与2017年</w:t>
      </w:r>
      <w:r w:rsidR="00764BD7">
        <w:rPr>
          <w:rFonts w:ascii="仿宋" w:eastAsia="仿宋" w:hAnsi="仿宋" w:hint="eastAsia"/>
          <w:sz w:val="32"/>
          <w:szCs w:val="32"/>
        </w:rPr>
        <w:t>同期</w:t>
      </w:r>
      <w:r>
        <w:rPr>
          <w:rFonts w:ascii="仿宋" w:eastAsia="仿宋" w:hAnsi="仿宋" w:hint="eastAsia"/>
          <w:sz w:val="32"/>
          <w:szCs w:val="32"/>
        </w:rPr>
        <w:t>审结</w:t>
      </w:r>
      <w:r w:rsidR="00E80CC0">
        <w:rPr>
          <w:rFonts w:ascii="仿宋" w:eastAsia="仿宋" w:hAnsi="仿宋" w:hint="eastAsia"/>
          <w:sz w:val="32"/>
          <w:szCs w:val="32"/>
        </w:rPr>
        <w:t>的</w:t>
      </w:r>
      <w:r w:rsidR="006468F9">
        <w:rPr>
          <w:rFonts w:ascii="仿宋" w:eastAsia="仿宋" w:hAnsi="仿宋" w:hint="eastAsia"/>
          <w:sz w:val="32"/>
          <w:szCs w:val="32"/>
        </w:rPr>
        <w:t>633</w:t>
      </w:r>
      <w:r>
        <w:rPr>
          <w:rFonts w:ascii="仿宋" w:eastAsia="仿宋" w:hAnsi="仿宋" w:hint="eastAsia"/>
          <w:sz w:val="32"/>
          <w:szCs w:val="32"/>
        </w:rPr>
        <w:t>件相比</w:t>
      </w:r>
      <w:r w:rsidR="00E80CC0">
        <w:rPr>
          <w:rFonts w:ascii="仿宋" w:eastAsia="仿宋" w:hAnsi="仿宋" w:hint="eastAsia"/>
          <w:sz w:val="32"/>
          <w:szCs w:val="32"/>
        </w:rPr>
        <w:t>，</w:t>
      </w:r>
      <w:r w:rsidR="00E46F24">
        <w:rPr>
          <w:rFonts w:ascii="仿宋" w:eastAsia="仿宋" w:hAnsi="仿宋" w:hint="eastAsia"/>
          <w:sz w:val="32"/>
          <w:szCs w:val="32"/>
        </w:rPr>
        <w:t>减少</w:t>
      </w:r>
      <w:r w:rsidR="006468F9">
        <w:rPr>
          <w:rFonts w:ascii="仿宋" w:eastAsia="仿宋" w:hAnsi="仿宋" w:hint="eastAsia"/>
          <w:sz w:val="32"/>
          <w:szCs w:val="32"/>
        </w:rPr>
        <w:t>156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6468F9">
        <w:rPr>
          <w:rFonts w:ascii="仿宋" w:eastAsia="仿宋" w:hAnsi="仿宋" w:hint="eastAsia"/>
          <w:sz w:val="32"/>
          <w:szCs w:val="32"/>
        </w:rPr>
        <w:t>24.64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(一) 各院审结案件占两级法院比例情况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按审结案件占两级法院审结案件的比例排序，</w:t>
      </w:r>
      <w:r w:rsidR="00E46F24">
        <w:rPr>
          <w:rFonts w:ascii="仿宋" w:eastAsia="仿宋" w:hAnsi="仿宋" w:hint="eastAsia"/>
          <w:sz w:val="32"/>
          <w:szCs w:val="32"/>
        </w:rPr>
        <w:t>由高到低分别</w:t>
      </w:r>
      <w:r>
        <w:rPr>
          <w:rFonts w:ascii="仿宋" w:eastAsia="仿宋" w:hAnsi="仿宋" w:hint="eastAsia"/>
          <w:sz w:val="32"/>
          <w:szCs w:val="32"/>
        </w:rPr>
        <w:t>为</w:t>
      </w:r>
      <w:r w:rsidR="007D0D99">
        <w:rPr>
          <w:rFonts w:ascii="仿宋" w:eastAsia="仿宋" w:hAnsi="仿宋" w:hint="eastAsia"/>
          <w:sz w:val="32"/>
          <w:szCs w:val="32"/>
        </w:rPr>
        <w:t>：</w:t>
      </w:r>
      <w:r w:rsidR="007C0DA1">
        <w:rPr>
          <w:rFonts w:ascii="仿宋" w:eastAsia="仿宋" w:hAnsi="仿宋" w:hint="eastAsia"/>
          <w:sz w:val="32"/>
          <w:szCs w:val="32"/>
        </w:rPr>
        <w:t>抚松院24.74%、红石院22.43%、中院14.88%、江源院14.68%、临江院12.79%、白石山院10.48%</w:t>
      </w:r>
      <w:r>
        <w:rPr>
          <w:rFonts w:ascii="仿宋" w:eastAsia="仿宋" w:hAnsi="仿宋" w:hint="eastAsia"/>
          <w:sz w:val="32"/>
          <w:szCs w:val="32"/>
        </w:rPr>
        <w:t>。各院审结案件占两级法院比例情况如图7所示：</w:t>
      </w:r>
    </w:p>
    <w:p w:rsidR="00123E46" w:rsidRDefault="00363513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图7  各院审结案件占两级法院比例情况</w:t>
      </w:r>
    </w:p>
    <w:p w:rsidR="00123E46" w:rsidRDefault="0036351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4839335" cy="292354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（二）各院审结审判类案件同比情况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与2017年</w:t>
      </w:r>
      <w:r w:rsidR="00B21A35">
        <w:rPr>
          <w:rFonts w:ascii="仿宋" w:eastAsia="仿宋" w:hAnsi="仿宋" w:hint="eastAsia"/>
          <w:sz w:val="32"/>
          <w:szCs w:val="32"/>
        </w:rPr>
        <w:t>同期</w:t>
      </w:r>
      <w:r>
        <w:rPr>
          <w:rFonts w:ascii="仿宋" w:eastAsia="仿宋" w:hAnsi="仿宋" w:hint="eastAsia"/>
          <w:sz w:val="32"/>
          <w:szCs w:val="32"/>
        </w:rPr>
        <w:t>相比，</w:t>
      </w:r>
      <w:r w:rsidR="00F0565E">
        <w:rPr>
          <w:rFonts w:ascii="仿宋" w:eastAsia="仿宋" w:hAnsi="仿宋" w:hint="eastAsia"/>
          <w:sz w:val="32"/>
          <w:szCs w:val="32"/>
        </w:rPr>
        <w:t>中院和临江院</w:t>
      </w:r>
      <w:r w:rsidR="00E54C70">
        <w:rPr>
          <w:rFonts w:ascii="仿宋" w:eastAsia="仿宋" w:hAnsi="仿宋" w:hint="eastAsia"/>
          <w:sz w:val="32"/>
          <w:szCs w:val="32"/>
        </w:rPr>
        <w:t>审结审判类案件数量分别上升</w:t>
      </w:r>
      <w:r w:rsidR="00F702C1">
        <w:rPr>
          <w:rFonts w:ascii="仿宋" w:eastAsia="仿宋" w:hAnsi="仿宋" w:hint="eastAsia"/>
          <w:sz w:val="32"/>
          <w:szCs w:val="32"/>
        </w:rPr>
        <w:t>31.48</w:t>
      </w:r>
      <w:r w:rsidR="00E54C70">
        <w:rPr>
          <w:rFonts w:ascii="仿宋" w:eastAsia="仿宋" w:hAnsi="仿宋" w:hint="eastAsia"/>
          <w:sz w:val="32"/>
          <w:szCs w:val="32"/>
        </w:rPr>
        <w:t>%、</w:t>
      </w:r>
      <w:r w:rsidR="00F702C1">
        <w:rPr>
          <w:rFonts w:ascii="仿宋" w:eastAsia="仿宋" w:hAnsi="仿宋" w:hint="eastAsia"/>
          <w:sz w:val="32"/>
          <w:szCs w:val="32"/>
        </w:rPr>
        <w:t>12.96</w:t>
      </w:r>
      <w:r w:rsidR="00E54C70">
        <w:rPr>
          <w:rFonts w:ascii="仿宋" w:eastAsia="仿宋" w:hAnsi="仿宋" w:hint="eastAsia"/>
          <w:sz w:val="32"/>
          <w:szCs w:val="32"/>
        </w:rPr>
        <w:t>%</w:t>
      </w:r>
      <w:r w:rsidR="00D67890">
        <w:rPr>
          <w:rFonts w:ascii="仿宋" w:eastAsia="仿宋" w:hAnsi="仿宋" w:hint="eastAsia"/>
          <w:sz w:val="32"/>
          <w:szCs w:val="32"/>
        </w:rPr>
        <w:t>，其他各院均有所下降</w:t>
      </w:r>
      <w:r w:rsidR="00E54C7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各院审结审判类案件同比情况如图8所示：</w:t>
      </w:r>
    </w:p>
    <w:p w:rsidR="001661BF" w:rsidRDefault="001661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661BF" w:rsidRDefault="001661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661BF" w:rsidRDefault="001661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363513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图8  各院审结审判类案件同比情况  （单位：件）</w:t>
      </w:r>
    </w:p>
    <w:p w:rsidR="00F83BDF" w:rsidRPr="00F83BDF" w:rsidRDefault="00363513" w:rsidP="00F83B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4968240" cy="2803525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(三)各院审结案件的审判程序情况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，两级法院审结一审案件</w:t>
      </w:r>
      <w:r w:rsidR="001C6411">
        <w:rPr>
          <w:rFonts w:ascii="仿宋" w:eastAsia="仿宋" w:hAnsi="仿宋" w:hint="eastAsia"/>
          <w:sz w:val="32"/>
          <w:szCs w:val="32"/>
        </w:rPr>
        <w:t>399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BD74D4">
        <w:rPr>
          <w:rFonts w:ascii="仿宋" w:eastAsia="仿宋" w:hAnsi="仿宋" w:hint="eastAsia"/>
          <w:sz w:val="32"/>
          <w:szCs w:val="32"/>
        </w:rPr>
        <w:t>同比</w:t>
      </w:r>
      <w:r>
        <w:rPr>
          <w:rFonts w:ascii="仿宋" w:eastAsia="仿宋" w:hAnsi="仿宋" w:hint="eastAsia"/>
          <w:sz w:val="32"/>
          <w:szCs w:val="32"/>
        </w:rPr>
        <w:t>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6E65CC">
        <w:rPr>
          <w:rFonts w:ascii="仿宋" w:eastAsia="仿宋" w:hAnsi="仿宋" w:hint="eastAsia"/>
          <w:sz w:val="32"/>
          <w:szCs w:val="32"/>
        </w:rPr>
        <w:t>的</w:t>
      </w:r>
      <w:r w:rsidR="00BB523E">
        <w:rPr>
          <w:rFonts w:ascii="仿宋" w:eastAsia="仿宋" w:hAnsi="仿宋" w:hint="eastAsia"/>
          <w:sz w:val="32"/>
          <w:szCs w:val="32"/>
        </w:rPr>
        <w:t>561</w:t>
      </w:r>
      <w:r>
        <w:rPr>
          <w:rFonts w:ascii="仿宋" w:eastAsia="仿宋" w:hAnsi="仿宋" w:hint="eastAsia"/>
          <w:sz w:val="32"/>
          <w:szCs w:val="32"/>
        </w:rPr>
        <w:t>件</w:t>
      </w:r>
      <w:r w:rsidR="006E65C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减少</w:t>
      </w:r>
      <w:r w:rsidR="00BB523E">
        <w:rPr>
          <w:rFonts w:ascii="仿宋" w:eastAsia="仿宋" w:hAnsi="仿宋" w:hint="eastAsia"/>
          <w:sz w:val="32"/>
          <w:szCs w:val="32"/>
        </w:rPr>
        <w:t>162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BB523E">
        <w:rPr>
          <w:rFonts w:ascii="仿宋" w:eastAsia="仿宋" w:hAnsi="仿宋" w:hint="eastAsia"/>
          <w:sz w:val="32"/>
          <w:szCs w:val="32"/>
        </w:rPr>
        <w:t>28.88</w:t>
      </w:r>
      <w:r>
        <w:rPr>
          <w:rFonts w:ascii="仿宋" w:eastAsia="仿宋" w:hAnsi="仿宋" w:hint="eastAsia"/>
          <w:sz w:val="32"/>
          <w:szCs w:val="32"/>
        </w:rPr>
        <w:t>%；审结二审案件</w:t>
      </w:r>
      <w:r w:rsidR="001C6411">
        <w:rPr>
          <w:rFonts w:ascii="仿宋" w:eastAsia="仿宋" w:hAnsi="仿宋" w:hint="eastAsia"/>
          <w:sz w:val="32"/>
          <w:szCs w:val="32"/>
        </w:rPr>
        <w:t>58</w:t>
      </w:r>
      <w:r>
        <w:rPr>
          <w:rFonts w:ascii="仿宋" w:eastAsia="仿宋" w:hAnsi="仿宋" w:hint="eastAsia"/>
          <w:sz w:val="32"/>
          <w:szCs w:val="32"/>
        </w:rPr>
        <w:t>件，同比2017年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8A1DE7">
        <w:rPr>
          <w:rFonts w:ascii="仿宋" w:eastAsia="仿宋" w:hAnsi="仿宋" w:hint="eastAsia"/>
          <w:sz w:val="32"/>
          <w:szCs w:val="32"/>
        </w:rPr>
        <w:t>的</w:t>
      </w:r>
      <w:r w:rsidR="00BB523E"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件</w:t>
      </w:r>
      <w:r w:rsidR="008A1DE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增加</w:t>
      </w:r>
      <w:r w:rsidR="00BB523E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件，上升</w:t>
      </w:r>
      <w:r w:rsidR="00BB523E">
        <w:rPr>
          <w:rFonts w:ascii="仿宋" w:eastAsia="仿宋" w:hAnsi="仿宋" w:hint="eastAsia"/>
          <w:sz w:val="32"/>
          <w:szCs w:val="32"/>
        </w:rPr>
        <w:t>28.89</w:t>
      </w:r>
      <w:r>
        <w:rPr>
          <w:rFonts w:ascii="仿宋" w:eastAsia="仿宋" w:hAnsi="仿宋" w:hint="eastAsia"/>
          <w:sz w:val="32"/>
          <w:szCs w:val="32"/>
        </w:rPr>
        <w:t>%；审结再审案件2件</w:t>
      </w:r>
      <w:r w:rsidR="000C29AA">
        <w:rPr>
          <w:rFonts w:ascii="仿宋" w:eastAsia="仿宋" w:hAnsi="仿宋" w:hint="eastAsia"/>
          <w:sz w:val="32"/>
          <w:szCs w:val="32"/>
        </w:rPr>
        <w:t>，</w:t>
      </w:r>
      <w:r w:rsidR="00BB523E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8A1DE7">
        <w:rPr>
          <w:rFonts w:ascii="仿宋" w:eastAsia="仿宋" w:hAnsi="仿宋" w:hint="eastAsia"/>
          <w:sz w:val="32"/>
          <w:szCs w:val="32"/>
        </w:rPr>
        <w:t>的</w:t>
      </w:r>
      <w:r w:rsidR="00BB523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</w:t>
      </w:r>
      <w:r w:rsidR="00BB523E">
        <w:rPr>
          <w:rFonts w:ascii="仿宋" w:eastAsia="仿宋" w:hAnsi="仿宋" w:hint="eastAsia"/>
          <w:sz w:val="32"/>
          <w:szCs w:val="32"/>
        </w:rPr>
        <w:t>持平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，各院共审结民事一审案件</w:t>
      </w:r>
      <w:r w:rsidR="000855C1">
        <w:rPr>
          <w:rFonts w:ascii="仿宋" w:eastAsia="仿宋" w:hAnsi="仿宋" w:hint="eastAsia"/>
          <w:sz w:val="32"/>
          <w:szCs w:val="32"/>
        </w:rPr>
        <w:t>271</w:t>
      </w:r>
      <w:r>
        <w:rPr>
          <w:rFonts w:ascii="仿宋" w:eastAsia="仿宋" w:hAnsi="仿宋" w:hint="eastAsia"/>
          <w:sz w:val="32"/>
          <w:szCs w:val="32"/>
        </w:rPr>
        <w:t>件，民事二审案件</w:t>
      </w:r>
      <w:r w:rsidR="000855C1">
        <w:rPr>
          <w:rFonts w:ascii="仿宋" w:eastAsia="仿宋" w:hAnsi="仿宋" w:hint="eastAsia"/>
          <w:sz w:val="32"/>
          <w:szCs w:val="32"/>
        </w:rPr>
        <w:t>42</w:t>
      </w:r>
      <w:r>
        <w:rPr>
          <w:rFonts w:ascii="仿宋" w:eastAsia="仿宋" w:hAnsi="仿宋" w:hint="eastAsia"/>
          <w:sz w:val="32"/>
          <w:szCs w:val="32"/>
        </w:rPr>
        <w:t>件，民事特别案件</w:t>
      </w:r>
      <w:r w:rsidR="000855C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件，民事再审案件1件，分别占全部民事案件</w:t>
      </w:r>
      <w:r w:rsidR="00A41C21">
        <w:rPr>
          <w:rFonts w:ascii="仿宋" w:eastAsia="仿宋" w:hAnsi="仿宋" w:hint="eastAsia"/>
          <w:sz w:val="32"/>
          <w:szCs w:val="32"/>
        </w:rPr>
        <w:t>367</w:t>
      </w:r>
      <w:r>
        <w:rPr>
          <w:rFonts w:ascii="仿宋" w:eastAsia="仿宋" w:hAnsi="仿宋" w:hint="eastAsia"/>
          <w:sz w:val="32"/>
          <w:szCs w:val="32"/>
        </w:rPr>
        <w:t>件（新收</w:t>
      </w:r>
      <w:r w:rsidR="00A41C21">
        <w:rPr>
          <w:rFonts w:ascii="仿宋" w:eastAsia="仿宋" w:hAnsi="仿宋" w:hint="eastAsia"/>
          <w:sz w:val="32"/>
          <w:szCs w:val="32"/>
        </w:rPr>
        <w:t>347</w:t>
      </w:r>
      <w:r>
        <w:rPr>
          <w:rFonts w:ascii="仿宋" w:eastAsia="仿宋" w:hAnsi="仿宋" w:hint="eastAsia"/>
          <w:sz w:val="32"/>
          <w:szCs w:val="32"/>
        </w:rPr>
        <w:t>件，旧存20件）的</w:t>
      </w:r>
      <w:r w:rsidR="0044142A">
        <w:rPr>
          <w:rFonts w:ascii="仿宋" w:eastAsia="仿宋" w:hAnsi="仿宋" w:hint="eastAsia"/>
          <w:sz w:val="32"/>
          <w:szCs w:val="32"/>
        </w:rPr>
        <w:t>73.84</w:t>
      </w:r>
      <w:r>
        <w:rPr>
          <w:rFonts w:ascii="仿宋" w:eastAsia="仿宋" w:hAnsi="仿宋" w:hint="eastAsia"/>
          <w:sz w:val="32"/>
          <w:szCs w:val="32"/>
        </w:rPr>
        <w:t>%、</w:t>
      </w:r>
      <w:r w:rsidR="0044142A">
        <w:rPr>
          <w:rFonts w:ascii="仿宋" w:eastAsia="仿宋" w:hAnsi="仿宋" w:hint="eastAsia"/>
          <w:sz w:val="32"/>
          <w:szCs w:val="32"/>
        </w:rPr>
        <w:t>11.44</w:t>
      </w:r>
      <w:r>
        <w:rPr>
          <w:rFonts w:ascii="仿宋" w:eastAsia="仿宋" w:hAnsi="仿宋" w:hint="eastAsia"/>
          <w:sz w:val="32"/>
          <w:szCs w:val="32"/>
        </w:rPr>
        <w:t>%、0.</w:t>
      </w:r>
      <w:r w:rsidR="0044142A">
        <w:rPr>
          <w:rFonts w:ascii="仿宋" w:eastAsia="仿宋" w:hAnsi="仿宋" w:hint="eastAsia"/>
          <w:sz w:val="32"/>
          <w:szCs w:val="32"/>
        </w:rPr>
        <w:t>82</w:t>
      </w:r>
      <w:r>
        <w:rPr>
          <w:rFonts w:ascii="仿宋" w:eastAsia="仿宋" w:hAnsi="仿宋" w:hint="eastAsia"/>
          <w:sz w:val="32"/>
          <w:szCs w:val="32"/>
        </w:rPr>
        <w:t>%、0.</w:t>
      </w:r>
      <w:r w:rsidR="0044142A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，各院共审结刑事一审案件</w:t>
      </w:r>
      <w:r w:rsidR="006E6B0A">
        <w:rPr>
          <w:rFonts w:ascii="仿宋" w:eastAsia="仿宋" w:hAnsi="仿宋" w:hint="eastAsia"/>
          <w:sz w:val="32"/>
          <w:szCs w:val="32"/>
        </w:rPr>
        <w:t>116</w:t>
      </w:r>
      <w:r>
        <w:rPr>
          <w:rFonts w:ascii="仿宋" w:eastAsia="仿宋" w:hAnsi="仿宋" w:hint="eastAsia"/>
          <w:sz w:val="32"/>
          <w:szCs w:val="32"/>
        </w:rPr>
        <w:t>件，刑事二审案件</w:t>
      </w:r>
      <w:r w:rsidR="006E6B0A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件，刑事再审案件1件，分别占全部刑事案件</w:t>
      </w:r>
      <w:r w:rsidR="006E6B0A">
        <w:rPr>
          <w:rFonts w:ascii="仿宋" w:eastAsia="仿宋" w:hAnsi="仿宋" w:hint="eastAsia"/>
          <w:sz w:val="32"/>
          <w:szCs w:val="32"/>
        </w:rPr>
        <w:t>139</w:t>
      </w:r>
      <w:r>
        <w:rPr>
          <w:rFonts w:ascii="仿宋" w:eastAsia="仿宋" w:hAnsi="仿宋" w:hint="eastAsia"/>
          <w:sz w:val="32"/>
          <w:szCs w:val="32"/>
        </w:rPr>
        <w:t>件（新收</w:t>
      </w:r>
      <w:r w:rsidR="006E6B0A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3件，旧存6件）的</w:t>
      </w:r>
      <w:r w:rsidR="00397D64">
        <w:rPr>
          <w:rFonts w:ascii="仿宋" w:eastAsia="仿宋" w:hAnsi="仿宋" w:hint="eastAsia"/>
          <w:sz w:val="32"/>
          <w:szCs w:val="32"/>
        </w:rPr>
        <w:t>83.45</w:t>
      </w:r>
      <w:r>
        <w:rPr>
          <w:rFonts w:ascii="仿宋" w:eastAsia="仿宋" w:hAnsi="仿宋" w:hint="eastAsia"/>
          <w:sz w:val="32"/>
          <w:szCs w:val="32"/>
        </w:rPr>
        <w:t>%、</w:t>
      </w:r>
      <w:r w:rsidR="00397D64">
        <w:rPr>
          <w:rFonts w:ascii="仿宋" w:eastAsia="仿宋" w:hAnsi="仿宋" w:hint="eastAsia"/>
          <w:sz w:val="32"/>
          <w:szCs w:val="32"/>
        </w:rPr>
        <w:t>5.03</w:t>
      </w:r>
      <w:r>
        <w:rPr>
          <w:rFonts w:ascii="仿宋" w:eastAsia="仿宋" w:hAnsi="仿宋" w:hint="eastAsia"/>
          <w:sz w:val="32"/>
          <w:szCs w:val="32"/>
        </w:rPr>
        <w:t>%、</w:t>
      </w:r>
      <w:r w:rsidR="00397D64">
        <w:rPr>
          <w:rFonts w:ascii="仿宋" w:eastAsia="仿宋" w:hAnsi="仿宋" w:hint="eastAsia"/>
          <w:sz w:val="32"/>
          <w:szCs w:val="32"/>
        </w:rPr>
        <w:t>0.71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123E46" w:rsidRDefault="00363513" w:rsidP="00876A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，各院共审结行政一审案件</w:t>
      </w:r>
      <w:r w:rsidR="00397D64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件，行政二审案件</w:t>
      </w:r>
      <w:r w:rsidR="00397D6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件，分别占全部行政案件</w:t>
      </w:r>
      <w:r w:rsidR="00397D64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件（新收</w:t>
      </w:r>
      <w:r w:rsidR="00397D64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sz w:val="32"/>
          <w:szCs w:val="32"/>
        </w:rPr>
        <w:lastRenderedPageBreak/>
        <w:t>旧存0件）的</w:t>
      </w:r>
      <w:r w:rsidR="00397D64">
        <w:rPr>
          <w:rFonts w:ascii="仿宋" w:eastAsia="仿宋" w:hAnsi="仿宋" w:hint="eastAsia"/>
          <w:sz w:val="32"/>
          <w:szCs w:val="32"/>
        </w:rPr>
        <w:t>59.09</w:t>
      </w:r>
      <w:r>
        <w:rPr>
          <w:rFonts w:ascii="仿宋" w:eastAsia="仿宋" w:hAnsi="仿宋" w:hint="eastAsia"/>
          <w:sz w:val="32"/>
          <w:szCs w:val="32"/>
        </w:rPr>
        <w:t>%、</w:t>
      </w:r>
      <w:r w:rsidR="00397D64">
        <w:rPr>
          <w:rFonts w:ascii="仿宋" w:eastAsia="仿宋" w:hAnsi="仿宋" w:hint="eastAsia"/>
          <w:sz w:val="32"/>
          <w:szCs w:val="32"/>
        </w:rPr>
        <w:t>40.91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123E46" w:rsidRPr="00692FF0" w:rsidRDefault="00363513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92FF0">
        <w:rPr>
          <w:rFonts w:ascii="仿宋" w:eastAsia="仿宋" w:hAnsi="仿宋" w:hint="eastAsia"/>
          <w:b/>
          <w:color w:val="000000" w:themeColor="text1"/>
          <w:sz w:val="32"/>
          <w:szCs w:val="32"/>
        </w:rPr>
        <w:t>(四)各院审结案件的案由、罪名情况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，两级法院审结民事案件中，数量较多、占比较大的案由分别是合同、无因管理、不当得利纠纷（</w:t>
      </w:r>
      <w:r w:rsidR="00784613">
        <w:rPr>
          <w:rFonts w:ascii="仿宋" w:eastAsia="仿宋" w:hAnsi="仿宋" w:hint="eastAsia"/>
          <w:sz w:val="32"/>
          <w:szCs w:val="32"/>
        </w:rPr>
        <w:t>1</w:t>
      </w:r>
      <w:r w:rsidR="00450D23"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件，占已审结民事案件</w:t>
      </w:r>
      <w:r w:rsidR="00784613">
        <w:rPr>
          <w:rFonts w:ascii="仿宋" w:eastAsia="仿宋" w:hAnsi="仿宋" w:hint="eastAsia"/>
          <w:sz w:val="32"/>
          <w:szCs w:val="32"/>
        </w:rPr>
        <w:t>317</w:t>
      </w:r>
      <w:r>
        <w:rPr>
          <w:rFonts w:ascii="仿宋" w:eastAsia="仿宋" w:hAnsi="仿宋" w:hint="eastAsia"/>
          <w:sz w:val="32"/>
          <w:szCs w:val="32"/>
        </w:rPr>
        <w:t>件的</w:t>
      </w:r>
      <w:r w:rsidR="00450D23">
        <w:rPr>
          <w:rFonts w:ascii="仿宋" w:eastAsia="仿宋" w:hAnsi="仿宋" w:hint="eastAsia"/>
          <w:sz w:val="32"/>
          <w:szCs w:val="32"/>
        </w:rPr>
        <w:t>47.32</w:t>
      </w:r>
      <w:r>
        <w:rPr>
          <w:rFonts w:ascii="仿宋" w:eastAsia="仿宋" w:hAnsi="仿宋" w:hint="eastAsia"/>
          <w:sz w:val="32"/>
          <w:szCs w:val="32"/>
        </w:rPr>
        <w:t>%）</w:t>
      </w:r>
      <w:r w:rsidR="0078461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婚姻家庭、继承纠纷（</w:t>
      </w:r>
      <w:r w:rsidR="00784613">
        <w:rPr>
          <w:rFonts w:ascii="仿宋" w:eastAsia="仿宋" w:hAnsi="仿宋" w:hint="eastAsia"/>
          <w:sz w:val="32"/>
          <w:szCs w:val="32"/>
        </w:rPr>
        <w:t>6</w:t>
      </w:r>
      <w:r w:rsidR="00450D2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件，占已审结民事案件</w:t>
      </w:r>
      <w:r w:rsidR="00784613">
        <w:rPr>
          <w:rFonts w:ascii="仿宋" w:eastAsia="仿宋" w:hAnsi="仿宋" w:hint="eastAsia"/>
          <w:sz w:val="32"/>
          <w:szCs w:val="32"/>
        </w:rPr>
        <w:t>317</w:t>
      </w:r>
      <w:r>
        <w:rPr>
          <w:rFonts w:ascii="仿宋" w:eastAsia="仿宋" w:hAnsi="仿宋" w:hint="eastAsia"/>
          <w:sz w:val="32"/>
          <w:szCs w:val="32"/>
        </w:rPr>
        <w:t>件的</w:t>
      </w:r>
      <w:r w:rsidR="00450D23">
        <w:rPr>
          <w:rFonts w:ascii="仿宋" w:eastAsia="仿宋" w:hAnsi="仿宋" w:hint="eastAsia"/>
          <w:sz w:val="32"/>
          <w:szCs w:val="32"/>
        </w:rPr>
        <w:t>19.56</w:t>
      </w:r>
      <w:r>
        <w:rPr>
          <w:rFonts w:ascii="仿宋" w:eastAsia="仿宋" w:hAnsi="仿宋" w:hint="eastAsia"/>
          <w:sz w:val="32"/>
          <w:szCs w:val="32"/>
        </w:rPr>
        <w:t>%）</w:t>
      </w:r>
      <w:r w:rsidR="00425418">
        <w:rPr>
          <w:rFonts w:ascii="仿宋" w:eastAsia="仿宋" w:hAnsi="仿宋" w:hint="eastAsia"/>
          <w:sz w:val="32"/>
          <w:szCs w:val="32"/>
        </w:rPr>
        <w:t>、</w:t>
      </w:r>
      <w:r w:rsidR="00784613">
        <w:rPr>
          <w:rFonts w:ascii="仿宋" w:eastAsia="仿宋" w:hAnsi="仿宋" w:hint="eastAsia"/>
          <w:sz w:val="32"/>
          <w:szCs w:val="32"/>
        </w:rPr>
        <w:t>物权纠纷（</w:t>
      </w:r>
      <w:r w:rsidR="002F78BA">
        <w:rPr>
          <w:rFonts w:ascii="仿宋" w:eastAsia="仿宋" w:hAnsi="仿宋" w:hint="eastAsia"/>
          <w:sz w:val="32"/>
          <w:szCs w:val="32"/>
        </w:rPr>
        <w:t>55</w:t>
      </w:r>
      <w:r w:rsidR="00784613">
        <w:rPr>
          <w:rFonts w:ascii="仿宋" w:eastAsia="仿宋" w:hAnsi="仿宋" w:hint="eastAsia"/>
          <w:sz w:val="32"/>
          <w:szCs w:val="32"/>
        </w:rPr>
        <w:t>件，占已审结民事案件317件的</w:t>
      </w:r>
      <w:r w:rsidR="002F78BA">
        <w:rPr>
          <w:rFonts w:ascii="仿宋" w:eastAsia="仿宋" w:hAnsi="仿宋" w:hint="eastAsia"/>
          <w:sz w:val="32"/>
          <w:szCs w:val="32"/>
        </w:rPr>
        <w:t>17.35</w:t>
      </w:r>
      <w:r w:rsidR="00784613">
        <w:rPr>
          <w:rFonts w:ascii="仿宋" w:eastAsia="仿宋" w:hAnsi="仿宋" w:hint="eastAsia"/>
          <w:sz w:val="32"/>
          <w:szCs w:val="32"/>
        </w:rPr>
        <w:t>%）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两级法院审结刑事案件中，数量较多、占比较大的罪名分别是非法采伐、毁坏国家重点保护植物罪（</w:t>
      </w:r>
      <w:r w:rsidR="00F84AD2"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件，占已审结刑事案件</w:t>
      </w:r>
      <w:r w:rsidR="00F84AD2">
        <w:rPr>
          <w:rFonts w:ascii="仿宋" w:eastAsia="仿宋" w:hAnsi="仿宋" w:hint="eastAsia"/>
          <w:sz w:val="32"/>
          <w:szCs w:val="32"/>
        </w:rPr>
        <w:t>124</w:t>
      </w:r>
      <w:r>
        <w:rPr>
          <w:rFonts w:ascii="仿宋" w:eastAsia="仿宋" w:hAnsi="仿宋" w:hint="eastAsia"/>
          <w:sz w:val="32"/>
          <w:szCs w:val="32"/>
        </w:rPr>
        <w:t>件的</w:t>
      </w:r>
      <w:r w:rsidR="00F84AD2">
        <w:rPr>
          <w:rFonts w:ascii="仿宋" w:eastAsia="仿宋" w:hAnsi="仿宋" w:hint="eastAsia"/>
          <w:sz w:val="32"/>
          <w:szCs w:val="32"/>
        </w:rPr>
        <w:t>36.29</w:t>
      </w:r>
      <w:r>
        <w:rPr>
          <w:rFonts w:ascii="仿宋" w:eastAsia="仿宋" w:hAnsi="仿宋" w:hint="eastAsia"/>
          <w:sz w:val="32"/>
          <w:szCs w:val="32"/>
        </w:rPr>
        <w:t>%）与盗伐林木罪（</w:t>
      </w:r>
      <w:r w:rsidR="00F84AD2"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件，占已审结刑事案件</w:t>
      </w:r>
      <w:r w:rsidR="00F84AD2">
        <w:rPr>
          <w:rFonts w:ascii="仿宋" w:eastAsia="仿宋" w:hAnsi="仿宋" w:hint="eastAsia"/>
          <w:sz w:val="32"/>
          <w:szCs w:val="32"/>
        </w:rPr>
        <w:t>124</w:t>
      </w:r>
      <w:r>
        <w:rPr>
          <w:rFonts w:ascii="仿宋" w:eastAsia="仿宋" w:hAnsi="仿宋" w:hint="eastAsia"/>
          <w:sz w:val="32"/>
          <w:szCs w:val="32"/>
        </w:rPr>
        <w:t>件的</w:t>
      </w:r>
      <w:r w:rsidR="00F84AD2">
        <w:rPr>
          <w:rFonts w:ascii="仿宋" w:eastAsia="仿宋" w:hAnsi="仿宋" w:hint="eastAsia"/>
          <w:sz w:val="32"/>
          <w:szCs w:val="32"/>
        </w:rPr>
        <w:t>20.97</w:t>
      </w:r>
      <w:r>
        <w:rPr>
          <w:rFonts w:ascii="仿宋" w:eastAsia="仿宋" w:hAnsi="仿宋" w:hint="eastAsia"/>
          <w:sz w:val="32"/>
          <w:szCs w:val="32"/>
        </w:rPr>
        <w:t>%）。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(五)各院审结审判类案件一审简易程序适用率、二审发回重审率、改判率情况</w:t>
      </w:r>
    </w:p>
    <w:p w:rsidR="00876AE8" w:rsidRDefault="00363513" w:rsidP="00876AE8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，各院审结的一审案件中，简易程序适用率为</w:t>
      </w:r>
      <w:r w:rsidR="00610067">
        <w:rPr>
          <w:rFonts w:ascii="仿宋" w:eastAsia="仿宋" w:hAnsi="仿宋" w:hint="eastAsia"/>
          <w:sz w:val="32"/>
          <w:szCs w:val="32"/>
        </w:rPr>
        <w:t>78.45</w:t>
      </w:r>
      <w:r>
        <w:rPr>
          <w:rFonts w:ascii="仿宋" w:eastAsia="仿宋" w:hAnsi="仿宋" w:hint="eastAsia"/>
          <w:sz w:val="32"/>
          <w:szCs w:val="32"/>
        </w:rPr>
        <w:t>%，同比2017年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的</w:t>
      </w:r>
      <w:r w:rsidR="00610067">
        <w:rPr>
          <w:rFonts w:ascii="仿宋" w:eastAsia="仿宋" w:hAnsi="仿宋" w:hint="eastAsia"/>
          <w:sz w:val="32"/>
          <w:szCs w:val="32"/>
        </w:rPr>
        <w:t>84.14</w:t>
      </w:r>
      <w:r>
        <w:rPr>
          <w:rFonts w:ascii="仿宋" w:eastAsia="仿宋" w:hAnsi="仿宋" w:hint="eastAsia"/>
          <w:sz w:val="32"/>
          <w:szCs w:val="32"/>
        </w:rPr>
        <w:t>%，</w:t>
      </w:r>
      <w:r w:rsidR="00610067">
        <w:rPr>
          <w:rFonts w:ascii="仿宋" w:eastAsia="仿宋" w:hAnsi="仿宋" w:hint="eastAsia"/>
          <w:sz w:val="32"/>
          <w:szCs w:val="32"/>
        </w:rPr>
        <w:t>下降5.69</w:t>
      </w:r>
      <w:r>
        <w:rPr>
          <w:rFonts w:ascii="仿宋" w:eastAsia="仿宋" w:hAnsi="仿宋" w:hint="eastAsia"/>
          <w:sz w:val="32"/>
          <w:szCs w:val="32"/>
        </w:rPr>
        <w:t>个百分点。</w:t>
      </w:r>
      <w:r>
        <w:rPr>
          <w:rFonts w:ascii="仿宋" w:eastAsia="仿宋" w:hAnsi="仿宋" w:hint="eastAsia"/>
          <w:sz w:val="30"/>
          <w:szCs w:val="30"/>
        </w:rPr>
        <w:t>各院一审简易程序适用率同比情况如图9所示：</w:t>
      </w: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021F" w:rsidRDefault="0070021F" w:rsidP="0070021F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123E46" w:rsidRDefault="00363513" w:rsidP="0070021F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图9  各院一审简易程序适用率同比情况</w:t>
      </w:r>
    </w:p>
    <w:p w:rsidR="00123E46" w:rsidRDefault="003635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36210" cy="2967355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，二审改判</w:t>
      </w:r>
      <w:r w:rsidR="00306A4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件（</w:t>
      </w:r>
      <w:r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抚松院1件刑事，因事实不清或者证据不足；</w:t>
      </w:r>
      <w:r w:rsidR="00D8786C"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２</w:t>
      </w:r>
      <w:r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件民事，</w:t>
      </w:r>
      <w:r w:rsidR="00D8786C"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１件</w:t>
      </w:r>
      <w:r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因认定事实错误</w:t>
      </w:r>
      <w:r w:rsidR="00D8786C"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，1件因适用法律错误</w:t>
      </w:r>
      <w:r w:rsidRPr="00D8786C">
        <w:rPr>
          <w:rFonts w:ascii="仿宋" w:eastAsia="仿宋" w:hAnsi="仿宋" w:hint="eastAsia"/>
          <w:color w:val="000000" w:themeColor="text1"/>
          <w:sz w:val="32"/>
          <w:szCs w:val="32"/>
        </w:rPr>
        <w:t>；江源院1件刑事，因认定事实错误</w:t>
      </w:r>
      <w:r>
        <w:rPr>
          <w:rFonts w:ascii="仿宋" w:eastAsia="仿宋" w:hAnsi="仿宋" w:hint="eastAsia"/>
          <w:sz w:val="32"/>
          <w:szCs w:val="32"/>
        </w:rPr>
        <w:t>），二审发回重审</w:t>
      </w:r>
      <w:r w:rsidR="006561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（江源院1件刑事，因事实不清，证据不足；临江院1件民事，因事实不清或者证据不足），再审发回重审2件（中院1件刑事，因事实不清或者证据不足；抚松院1件民事，因事实不清或者证据不足）。一审案件上诉被改判、发回重审率为1.</w:t>
      </w:r>
      <w:r w:rsidR="002D13C7">
        <w:rPr>
          <w:rFonts w:ascii="仿宋" w:eastAsia="仿宋" w:hAnsi="仿宋" w:hint="eastAsia"/>
          <w:sz w:val="32"/>
          <w:szCs w:val="32"/>
        </w:rPr>
        <w:t>75</w:t>
      </w:r>
      <w:r>
        <w:rPr>
          <w:rFonts w:ascii="仿宋" w:eastAsia="仿宋" w:hAnsi="仿宋" w:hint="eastAsia"/>
          <w:sz w:val="32"/>
          <w:szCs w:val="32"/>
        </w:rPr>
        <w:t>%（上诉案件被改判数+上诉案件被发回重审数∕一审诉讼案件结案数），同比2017年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的1.</w:t>
      </w:r>
      <w:r w:rsidR="002D13C7">
        <w:rPr>
          <w:rFonts w:ascii="仿宋" w:eastAsia="仿宋" w:hAnsi="仿宋" w:hint="eastAsia"/>
          <w:sz w:val="32"/>
          <w:szCs w:val="32"/>
        </w:rPr>
        <w:t>78</w:t>
      </w:r>
      <w:r>
        <w:rPr>
          <w:rFonts w:ascii="仿宋" w:eastAsia="仿宋" w:hAnsi="仿宋" w:hint="eastAsia"/>
          <w:sz w:val="32"/>
          <w:szCs w:val="32"/>
        </w:rPr>
        <w:t>%，</w:t>
      </w:r>
      <w:r w:rsidR="002D13C7">
        <w:rPr>
          <w:rFonts w:ascii="仿宋" w:eastAsia="仿宋" w:hAnsi="仿宋" w:hint="eastAsia"/>
          <w:sz w:val="32"/>
          <w:szCs w:val="32"/>
        </w:rPr>
        <w:t>下降0.03</w:t>
      </w:r>
      <w:r>
        <w:rPr>
          <w:rFonts w:ascii="仿宋" w:eastAsia="仿宋" w:hAnsi="仿宋" w:hint="eastAsia"/>
          <w:sz w:val="32"/>
          <w:szCs w:val="32"/>
        </w:rPr>
        <w:t>个百分点；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生效案件再审被改判、发回重审率为0.</w:t>
      </w:r>
      <w:r w:rsidR="00854F4C">
        <w:rPr>
          <w:rFonts w:ascii="仿宋" w:eastAsia="仿宋" w:hAnsi="仿宋" w:hint="eastAsia"/>
          <w:color w:val="000000" w:themeColor="text1"/>
          <w:sz w:val="32"/>
          <w:szCs w:val="32"/>
        </w:rPr>
        <w:t>45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%（再审案件被改判数+再审案件被发回重审数∕</w:t>
      </w:r>
      <w:r w:rsidRPr="00854F4C">
        <w:rPr>
          <w:rFonts w:ascii="仿宋" w:eastAsia="仿宋" w:hAnsi="仿宋" w:hint="eastAsia"/>
          <w:color w:val="000000" w:themeColor="text1"/>
          <w:sz w:val="32"/>
          <w:szCs w:val="32"/>
        </w:rPr>
        <w:t>生效案件总数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），</w:t>
      </w:r>
      <w:r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同比2017年</w:t>
      </w:r>
      <w:r w:rsidR="00604104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前三季度</w:t>
      </w:r>
      <w:r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F13E8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0.17</w:t>
      </w:r>
      <w:r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AA767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上升0.</w:t>
      </w:r>
      <w:r w:rsidR="00CA2948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个百分点。</w:t>
      </w:r>
      <w:r>
        <w:rPr>
          <w:rFonts w:ascii="仿宋" w:eastAsia="仿宋" w:hAnsi="仿宋" w:hint="eastAsia"/>
          <w:sz w:val="32"/>
          <w:szCs w:val="32"/>
        </w:rPr>
        <w:t>发改案件具体情况如图10所示：</w:t>
      </w:r>
    </w:p>
    <w:p w:rsidR="00F31689" w:rsidRDefault="00F3168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7767A" w:rsidRDefault="00B776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Pr="007208AB" w:rsidRDefault="00363513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208AB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图10  发、改案件具体案件列表</w:t>
      </w:r>
    </w:p>
    <w:tbl>
      <w:tblPr>
        <w:tblW w:w="8522" w:type="dxa"/>
        <w:jc w:val="center"/>
        <w:tblLayout w:type="fixed"/>
        <w:tblLook w:val="04A0"/>
      </w:tblPr>
      <w:tblGrid>
        <w:gridCol w:w="418"/>
        <w:gridCol w:w="1251"/>
        <w:gridCol w:w="1701"/>
        <w:gridCol w:w="566"/>
        <w:gridCol w:w="1701"/>
        <w:gridCol w:w="1131"/>
        <w:gridCol w:w="1754"/>
      </w:tblGrid>
      <w:tr w:rsidR="00123E46">
        <w:trPr>
          <w:trHeight w:val="101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案号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案件名称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原审案号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原审法院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改判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发回重审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指令再审原因</w:t>
            </w:r>
          </w:p>
        </w:tc>
      </w:tr>
      <w:tr w:rsidR="00123E46">
        <w:trPr>
          <w:trHeight w:val="9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李跃鹏等故意伤害罪一案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蒲素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7604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刑初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抚松林区基层法院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事实不清或者证据不足</w:t>
            </w:r>
          </w:p>
        </w:tc>
      </w:tr>
      <w:tr w:rsidR="00123E46">
        <w:trPr>
          <w:trHeight w:val="41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殷长喜等非法占用农用地罪一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姜玉先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7605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刑初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江源林区基层法院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认定事实错误</w:t>
            </w:r>
          </w:p>
        </w:tc>
      </w:tr>
      <w:tr w:rsidR="00123E46">
        <w:trPr>
          <w:trHeight w:val="41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民终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刘玉芬诉张利华等合伙协议纠</w:t>
            </w:r>
            <w:r w:rsidR="00C067D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李春玲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7604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民初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抚松林区基层法院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认定事实错误</w:t>
            </w:r>
          </w:p>
        </w:tc>
      </w:tr>
      <w:tr w:rsidR="00123E46">
        <w:trPr>
          <w:trHeight w:val="399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曹志洋等诉朱秀杰等提供劳务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李春玲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临江林区基层法院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事实不清证据不足</w:t>
            </w:r>
          </w:p>
        </w:tc>
      </w:tr>
      <w:tr w:rsidR="00123E46">
        <w:trPr>
          <w:trHeight w:val="9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刑终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苗成武敲诈勒索罪一案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蒲素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7605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刑初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江源林区基层法院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事实不清证据不足</w:t>
            </w:r>
          </w:p>
        </w:tc>
      </w:tr>
      <w:tr w:rsidR="00123E46">
        <w:trPr>
          <w:trHeight w:val="9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刑再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赵龙华盗伐林木罪再审一案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孟东华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刑终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长春林区中级法院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事实不清证据不足</w:t>
            </w:r>
          </w:p>
        </w:tc>
      </w:tr>
      <w:tr w:rsidR="00123E46" w:rsidTr="00C067D2">
        <w:trPr>
          <w:trHeight w:val="9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民再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抚松县露水河鲲鹏酒业有限公</w:t>
            </w:r>
            <w:r w:rsidR="00C067D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司建设工程施工合同纠纷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封硕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(2015)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抚林民初字第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195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抚松林区基层法院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事实不清证据不足</w:t>
            </w:r>
          </w:p>
        </w:tc>
      </w:tr>
      <w:tr w:rsidR="00C067D2" w:rsidTr="00C067D2">
        <w:trPr>
          <w:trHeight w:val="9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 w:rsidP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民终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中国太平洋财产保险股份有限公司保险合同纠纷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李群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 w:rsidP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7605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民初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江源林区基层法院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7D2" w:rsidRDefault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0F266A">
        <w:trPr>
          <w:trHeight w:val="9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Default="000F26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Default="000F266A" w:rsidP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Default="000F26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董恩洪诉吉林孙工集团股东利益责任纠纷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Pr="00C067D2" w:rsidRDefault="000F26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李春玲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Default="000F266A" w:rsidP="00C067D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7604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民初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Default="000F266A" w:rsidP="008C27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抚松林区基层法院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266A" w:rsidRDefault="000F266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适用法律错误</w:t>
            </w:r>
          </w:p>
        </w:tc>
      </w:tr>
    </w:tbl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五、两级法院分月收结审判类案件情况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2018年1月，新收61件（一审48件，二审12件，再审1件），审结32件（审结一审24件，审结二审6件，审结再审2件），结收比为52.46%。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2月，新收53件（一审47件，二审4件，再审2件），审结53件（审结一审47件，审结二审4件，审结再审2件），</w:t>
      </w:r>
      <w:r>
        <w:rPr>
          <w:rFonts w:ascii="仿宋" w:eastAsia="仿宋" w:hAnsi="仿宋" w:hint="eastAsia"/>
          <w:sz w:val="32"/>
          <w:szCs w:val="32"/>
        </w:rPr>
        <w:lastRenderedPageBreak/>
        <w:t>结收比为100%。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3月，新收42件（一审40件，二审2件），审结37件（审结一审33件，审结二审3件，审结民特1件），结收比为88.10%。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4月，新收61件（一审58件，二审3件），审结56件（审结一审48件，审结二审8件），结收比为91.80%。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5月，新收76件（一审68件，二审5件，民特1件，审查监督2件），审结63件（审结一审57件，审结二审5件，审结民特1件），结收比为82.89%。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6月，新收42件（一审40件，二审2件），审结55件（审结一审53件，审结二审2件），结收比为130.95%。</w:t>
      </w:r>
    </w:p>
    <w:p w:rsidR="001C0B58" w:rsidRDefault="001C0B58" w:rsidP="001C0B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7月，新收52件（一审42件，二审9件，审查监督1件），审结44件（审结一审39件，审结二审</w:t>
      </w:r>
      <w:r w:rsidR="007A4BDF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件，审结民特1件</w:t>
      </w:r>
      <w:r w:rsidR="007A4BDF">
        <w:rPr>
          <w:rFonts w:ascii="仿宋" w:eastAsia="仿宋" w:hAnsi="仿宋" w:hint="eastAsia"/>
          <w:sz w:val="32"/>
          <w:szCs w:val="32"/>
        </w:rPr>
        <w:t>，审结审查监督1件</w:t>
      </w:r>
      <w:r>
        <w:rPr>
          <w:rFonts w:ascii="仿宋" w:eastAsia="仿宋" w:hAnsi="仿宋" w:hint="eastAsia"/>
          <w:sz w:val="32"/>
          <w:szCs w:val="32"/>
        </w:rPr>
        <w:t>），结收比为</w:t>
      </w:r>
      <w:r w:rsidR="007A4BDF">
        <w:rPr>
          <w:rFonts w:ascii="仿宋" w:eastAsia="仿宋" w:hAnsi="仿宋" w:hint="eastAsia"/>
          <w:sz w:val="32"/>
          <w:szCs w:val="32"/>
        </w:rPr>
        <w:t>84.62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7A4BDF" w:rsidRDefault="007A4BDF" w:rsidP="007A4B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8月，新收78件（一审55件，二审19件，赔偿1件，审查监督3件），审结66件（审结一审58件，审结二审6件，审结审查监督2件），结收比为</w:t>
      </w:r>
      <w:r w:rsidR="003B4B94">
        <w:rPr>
          <w:rFonts w:ascii="仿宋" w:eastAsia="仿宋" w:hAnsi="仿宋" w:hint="eastAsia"/>
          <w:sz w:val="32"/>
          <w:szCs w:val="32"/>
        </w:rPr>
        <w:t>84.62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3B4B94" w:rsidRDefault="003B4B94" w:rsidP="003B4B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9月，新收44件（一审42件，二审2件），审结63件（审结一审40件，审结二审21件，审结审查监督2件），结收比为143.18%。</w:t>
      </w:r>
    </w:p>
    <w:p w:rsidR="00123E46" w:rsidRDefault="00363513" w:rsidP="00D01BC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，1月、4月、5月</w:t>
      </w:r>
      <w:r w:rsidR="00FA5972">
        <w:rPr>
          <w:rFonts w:ascii="仿宋" w:eastAsia="仿宋" w:hAnsi="仿宋" w:hint="eastAsia"/>
          <w:sz w:val="32"/>
          <w:szCs w:val="32"/>
        </w:rPr>
        <w:t>、8月</w:t>
      </w:r>
      <w:r>
        <w:rPr>
          <w:rFonts w:ascii="仿宋" w:eastAsia="仿宋" w:hAnsi="仿宋" w:hint="eastAsia"/>
          <w:sz w:val="32"/>
          <w:szCs w:val="32"/>
        </w:rPr>
        <w:t>新收案件数量较多。2月结收比实现均衡，6月</w:t>
      </w:r>
      <w:r w:rsidR="00FA5972">
        <w:rPr>
          <w:rFonts w:ascii="仿宋" w:eastAsia="仿宋" w:hAnsi="仿宋" w:hint="eastAsia"/>
          <w:sz w:val="32"/>
          <w:szCs w:val="32"/>
        </w:rPr>
        <w:t>、9月</w:t>
      </w:r>
      <w:r>
        <w:rPr>
          <w:rFonts w:ascii="仿宋" w:eastAsia="仿宋" w:hAnsi="仿宋" w:hint="eastAsia"/>
          <w:sz w:val="32"/>
          <w:szCs w:val="32"/>
        </w:rPr>
        <w:t>结收比较高，其它月份结收比均低于100%。各院每月收结案总体情况如图11、图12、图13、图14、图15、图16</w:t>
      </w:r>
      <w:r w:rsidR="00EE1DE9">
        <w:rPr>
          <w:rFonts w:ascii="仿宋" w:eastAsia="仿宋" w:hAnsi="仿宋" w:hint="eastAsia"/>
          <w:sz w:val="32"/>
          <w:szCs w:val="32"/>
        </w:rPr>
        <w:t>、图17</w:t>
      </w:r>
      <w:r>
        <w:rPr>
          <w:rFonts w:ascii="仿宋" w:eastAsia="仿宋" w:hAnsi="仿宋" w:hint="eastAsia"/>
          <w:sz w:val="32"/>
          <w:szCs w:val="32"/>
        </w:rPr>
        <w:t>所示：</w:t>
      </w:r>
    </w:p>
    <w:p w:rsidR="00E50C61" w:rsidRDefault="00E50C61" w:rsidP="00E50C61">
      <w:pPr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123E46" w:rsidRDefault="00363513" w:rsidP="00E50C61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图11  两级法院各月收结案总体情况（单位：件）</w:t>
      </w:r>
    </w:p>
    <w:p w:rsidR="00123E46" w:rsidRDefault="003635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770120" cy="1880235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7451" w:rsidRPr="00206A8C" w:rsidRDefault="00363513" w:rsidP="00206A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（一月结收比为52.46%；二月结收比为100%；三月结收比为88.10%；四月结收比为91.80%；五月结收比为82.89%；六月结收比为130.95%</w:t>
      </w:r>
      <w:r w:rsidR="005D1967">
        <w:rPr>
          <w:rFonts w:ascii="仿宋" w:eastAsia="仿宋" w:hAnsi="仿宋" w:hint="eastAsia"/>
          <w:sz w:val="32"/>
          <w:szCs w:val="32"/>
        </w:rPr>
        <w:t>；七月结收比为84.62%；八月结收比为84.62%；九月结收比为143.18%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图12  中院各月收结案情况  （单位：件）</w:t>
      </w:r>
    </w:p>
    <w:p w:rsidR="00D57451" w:rsidRDefault="00D57451" w:rsidP="00D57451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66675</wp:posOffset>
            </wp:positionV>
            <wp:extent cx="5253355" cy="2225675"/>
            <wp:effectExtent l="0" t="0" r="0" b="0"/>
            <wp:wrapNone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7451" w:rsidRDefault="00D57451" w:rsidP="00D57451">
      <w:pPr>
        <w:rPr>
          <w:rFonts w:ascii="仿宋" w:eastAsia="仿宋" w:hAnsi="仿宋"/>
          <w:sz w:val="32"/>
          <w:szCs w:val="32"/>
        </w:rPr>
      </w:pPr>
    </w:p>
    <w:p w:rsidR="00D57451" w:rsidRDefault="00D57451" w:rsidP="00D574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（一月收结比为53.33%；二月结收比为66.67%；三月结收比为150%；四月结收比为200%；五月结收比为62.5%；六月结收比为100%</w:t>
      </w:r>
      <w:r w:rsidR="00D6792D">
        <w:rPr>
          <w:rFonts w:ascii="仿宋" w:eastAsia="仿宋" w:hAnsi="仿宋" w:hint="eastAsia"/>
          <w:sz w:val="32"/>
          <w:szCs w:val="32"/>
        </w:rPr>
        <w:t>，七月结收比为</w:t>
      </w:r>
      <w:r w:rsidR="00EE1DE9">
        <w:rPr>
          <w:rFonts w:ascii="仿宋" w:eastAsia="仿宋" w:hAnsi="仿宋" w:hint="eastAsia"/>
          <w:sz w:val="32"/>
          <w:szCs w:val="32"/>
        </w:rPr>
        <w:t>50</w:t>
      </w:r>
      <w:r w:rsidR="00D6792D">
        <w:rPr>
          <w:rFonts w:ascii="仿宋" w:eastAsia="仿宋" w:hAnsi="仿宋" w:hint="eastAsia"/>
          <w:sz w:val="32"/>
          <w:szCs w:val="32"/>
        </w:rPr>
        <w:t>%；八月结收比为</w:t>
      </w:r>
      <w:r w:rsidR="00EE1DE9">
        <w:rPr>
          <w:rFonts w:ascii="仿宋" w:eastAsia="仿宋" w:hAnsi="仿宋" w:hint="eastAsia"/>
          <w:sz w:val="32"/>
          <w:szCs w:val="32"/>
        </w:rPr>
        <w:t>45</w:t>
      </w:r>
      <w:r w:rsidR="00D6792D">
        <w:rPr>
          <w:rFonts w:ascii="仿宋" w:eastAsia="仿宋" w:hAnsi="仿宋" w:hint="eastAsia"/>
          <w:sz w:val="32"/>
          <w:szCs w:val="32"/>
        </w:rPr>
        <w:t>%；九月结收比为</w:t>
      </w:r>
      <w:r w:rsidR="00EE1DE9">
        <w:rPr>
          <w:rFonts w:ascii="仿宋" w:eastAsia="仿宋" w:hAnsi="仿宋" w:hint="eastAsia"/>
          <w:sz w:val="32"/>
          <w:szCs w:val="32"/>
        </w:rPr>
        <w:t>420</w:t>
      </w:r>
      <w:r w:rsidR="00D6792D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640715</wp:posOffset>
            </wp:positionV>
            <wp:extent cx="5227320" cy="2070100"/>
            <wp:effectExtent l="0" t="0" r="0" b="0"/>
            <wp:wrapTopAndBottom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ascii="仿宋" w:eastAsia="仿宋" w:hAnsi="仿宋" w:hint="eastAsia"/>
          <w:b/>
          <w:sz w:val="28"/>
          <w:szCs w:val="28"/>
        </w:rPr>
        <w:t>图13  白石山院各月收结案情况  （单位：件）</w:t>
      </w:r>
    </w:p>
    <w:p w:rsid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（一月结收比为40%；二月结收比为60%；三月结收比为27.27%；四月结收比为166.67%；五月结收比为100%；六月结收比为166.67%</w:t>
      </w:r>
      <w:r w:rsidR="00EE1DE9">
        <w:rPr>
          <w:rFonts w:ascii="仿宋" w:eastAsia="仿宋" w:hAnsi="仿宋" w:hint="eastAsia"/>
          <w:sz w:val="32"/>
          <w:szCs w:val="32"/>
        </w:rPr>
        <w:t>，七月结收比为25%；八月结收比为66.67%；九月结收比为160%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50C61" w:rsidRDefault="00E50C61" w:rsidP="00D57451">
      <w:pPr>
        <w:spacing w:line="56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图14  红石院各月收结案情况   （单位：件）</w:t>
      </w: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83820</wp:posOffset>
            </wp:positionV>
            <wp:extent cx="5400040" cy="2156460"/>
            <wp:effectExtent l="0" t="0" r="0" b="0"/>
            <wp:wrapNone/>
            <wp:docPr id="29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7451" w:rsidRDefault="00D57451" w:rsidP="00D574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（一月结收比为88.89%；二月结收比为84%；三月结收比为120%；四月结收比为240%；五月结收比为46.15%；六月结收比为45.45%</w:t>
      </w:r>
      <w:r w:rsidR="002B1A63">
        <w:rPr>
          <w:rFonts w:ascii="仿宋" w:eastAsia="仿宋" w:hAnsi="仿宋" w:hint="eastAsia"/>
          <w:sz w:val="32"/>
          <w:szCs w:val="32"/>
        </w:rPr>
        <w:t>，七月结收比为600%；八月结收比为100%；九月结收比为233%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图15  临江院各月收结案情况   （单位：件）</w:t>
      </w:r>
    </w:p>
    <w:p w:rsidR="00D57451" w:rsidRDefault="00D57451" w:rsidP="00D57451">
      <w:pPr>
        <w:spacing w:line="560" w:lineRule="exac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238125</wp:posOffset>
            </wp:positionV>
            <wp:extent cx="5305425" cy="2432685"/>
            <wp:effectExtent l="0" t="0" r="0" b="0"/>
            <wp:wrapNone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10BA6" w:rsidRDefault="00910BA6" w:rsidP="00D574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57451" w:rsidRDefault="00D57451" w:rsidP="00D574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（一月结收比为66.67%%；二月结收比为100%；三月结收比为100%；四月结收比为116.67%；五月结收比为77.78%；六月结收比为112.5%</w:t>
      </w:r>
      <w:r w:rsidR="00A96D05">
        <w:rPr>
          <w:rFonts w:ascii="仿宋" w:eastAsia="仿宋" w:hAnsi="仿宋" w:hint="eastAsia"/>
          <w:sz w:val="32"/>
          <w:szCs w:val="32"/>
        </w:rPr>
        <w:t>，七月结收比为85.71%；八月结收比为180%；九月结收比为</w:t>
      </w:r>
      <w:r w:rsidR="001A6747">
        <w:rPr>
          <w:rFonts w:ascii="仿宋" w:eastAsia="仿宋" w:hAnsi="仿宋" w:hint="eastAsia"/>
          <w:sz w:val="32"/>
          <w:szCs w:val="32"/>
        </w:rPr>
        <w:t>100</w:t>
      </w:r>
      <w:r w:rsidR="00A96D05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50C61" w:rsidRDefault="00E50C61" w:rsidP="00D574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57451" w:rsidRDefault="00D57451" w:rsidP="00910BA6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图16  抚松院各月收结案情况   （单位：件）</w:t>
      </w: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69850</wp:posOffset>
            </wp:positionV>
            <wp:extent cx="5400040" cy="1759585"/>
            <wp:effectExtent l="0" t="0" r="0" b="0"/>
            <wp:wrapNone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（一月结收比为47.37%；二月结收比为128.57%；三月结收比为110%；四月结收比为63.64%；五月结收比为105.26%；六月结收比为162.5%）</w:t>
      </w:r>
    </w:p>
    <w:p w:rsid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57451" w:rsidRDefault="00D57451" w:rsidP="00D57451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图17  江源院各月收结案情况   （单位：件）</w:t>
      </w:r>
    </w:p>
    <w:p w:rsidR="00D57451" w:rsidRDefault="00D57451" w:rsidP="00D57451">
      <w:pPr>
        <w:spacing w:line="560" w:lineRule="exac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118745</wp:posOffset>
            </wp:positionV>
            <wp:extent cx="4641215" cy="1863090"/>
            <wp:effectExtent l="0" t="0" r="0" b="0"/>
            <wp:wrapNone/>
            <wp:docPr id="33" name="图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57451" w:rsidRDefault="00D57451" w:rsidP="00D57451">
      <w:pPr>
        <w:spacing w:line="560" w:lineRule="exac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p w:rsidR="00D57451" w:rsidRDefault="00D57451" w:rsidP="00D57451">
      <w:pPr>
        <w:spacing w:line="560" w:lineRule="exac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p w:rsidR="00D57451" w:rsidRDefault="00D57451" w:rsidP="00D57451">
      <w:pPr>
        <w:spacing w:line="560" w:lineRule="exac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p w:rsidR="00D57451" w:rsidRDefault="00D57451" w:rsidP="00D57451">
      <w:pPr>
        <w:spacing w:line="560" w:lineRule="exact"/>
        <w:rPr>
          <w:rFonts w:ascii="仿宋" w:eastAsia="仿宋" w:hAnsi="仿宋"/>
          <w:b/>
          <w:sz w:val="30"/>
          <w:szCs w:val="30"/>
        </w:rPr>
      </w:pPr>
    </w:p>
    <w:p w:rsidR="00D57451" w:rsidRDefault="00D57451" w:rsidP="00D57451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D57451" w:rsidRPr="00D57451" w:rsidRDefault="00D57451" w:rsidP="00D574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（一月结收比为30%；二月结收比为333.33%；三月结收比为80%；四月结收比为17.65%；五月结收比为100%；六月结收比为228.57%</w:t>
      </w:r>
      <w:r w:rsidR="00910BA6">
        <w:rPr>
          <w:rFonts w:ascii="仿宋" w:eastAsia="仿宋" w:hAnsi="仿宋" w:hint="eastAsia"/>
          <w:sz w:val="32"/>
          <w:szCs w:val="32"/>
        </w:rPr>
        <w:t>，七月结收比为80%；八月结收比为</w:t>
      </w:r>
      <w:r w:rsidR="00E65FD6">
        <w:rPr>
          <w:rFonts w:ascii="仿宋" w:eastAsia="仿宋" w:hAnsi="仿宋" w:hint="eastAsia"/>
          <w:sz w:val="32"/>
          <w:szCs w:val="32"/>
        </w:rPr>
        <w:t>75</w:t>
      </w:r>
      <w:r w:rsidR="00910BA6">
        <w:rPr>
          <w:rFonts w:ascii="仿宋" w:eastAsia="仿宋" w:hAnsi="仿宋" w:hint="eastAsia"/>
          <w:sz w:val="32"/>
          <w:szCs w:val="32"/>
        </w:rPr>
        <w:t>%；九月结收比为</w:t>
      </w:r>
      <w:r w:rsidR="00E65FD6">
        <w:rPr>
          <w:rFonts w:ascii="仿宋" w:eastAsia="仿宋" w:hAnsi="仿宋" w:hint="eastAsia"/>
          <w:sz w:val="32"/>
          <w:szCs w:val="32"/>
        </w:rPr>
        <w:t>200</w:t>
      </w:r>
      <w:r w:rsidR="00910BA6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FD0E4D" w:rsidRDefault="00FD0E4D" w:rsidP="00FD0E4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2018年前三季度，两级法院审判类案件结收比（已结案件数/新收案件数）为92.14%，同比2017年前三季度的97.49%，下降5.35个百分点。</w:t>
      </w:r>
      <w:r w:rsidR="001424E7">
        <w:rPr>
          <w:rFonts w:ascii="仿宋" w:eastAsia="仿宋" w:hAnsi="仿宋" w:hint="eastAsia"/>
          <w:sz w:val="32"/>
          <w:szCs w:val="32"/>
        </w:rPr>
        <w:t>各院结收比由高到低排序分别为：</w:t>
      </w:r>
      <w:r w:rsidR="009A6C6C">
        <w:rPr>
          <w:rFonts w:ascii="仿宋" w:eastAsia="仿宋" w:hAnsi="仿宋" w:hint="eastAsia"/>
          <w:sz w:val="32"/>
          <w:szCs w:val="32"/>
        </w:rPr>
        <w:t>红石院104.90%、临江院100%、江源院92%、中院90.79%、抚松院84.06%、白石山院83.05%。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六、两级法院未结审判类案件情况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F935D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月30日，两级法院未结审判类案件</w:t>
      </w:r>
      <w:r w:rsidR="00DD5B7E">
        <w:rPr>
          <w:rFonts w:ascii="仿宋" w:eastAsia="仿宋" w:hAnsi="仿宋" w:hint="eastAsia"/>
          <w:sz w:val="32"/>
          <w:szCs w:val="32"/>
        </w:rPr>
        <w:t>77</w:t>
      </w:r>
      <w:r>
        <w:rPr>
          <w:rFonts w:ascii="仿宋" w:eastAsia="仿宋" w:hAnsi="仿宋" w:hint="eastAsia"/>
          <w:sz w:val="32"/>
          <w:szCs w:val="32"/>
        </w:rPr>
        <w:t>件，与2017年</w:t>
      </w:r>
      <w:r w:rsidR="004E4326">
        <w:rPr>
          <w:rFonts w:ascii="仿宋" w:eastAsia="仿宋" w:hAnsi="仿宋" w:hint="eastAsia"/>
          <w:sz w:val="32"/>
          <w:szCs w:val="32"/>
        </w:rPr>
        <w:t>同期未结</w:t>
      </w:r>
      <w:r>
        <w:rPr>
          <w:rFonts w:ascii="仿宋" w:eastAsia="仿宋" w:hAnsi="仿宋" w:hint="eastAsia"/>
          <w:sz w:val="32"/>
          <w:szCs w:val="32"/>
        </w:rPr>
        <w:t>的</w:t>
      </w:r>
      <w:r w:rsidR="00F935DC">
        <w:rPr>
          <w:rFonts w:ascii="仿宋" w:eastAsia="仿宋" w:hAnsi="仿宋" w:hint="eastAsia"/>
          <w:sz w:val="32"/>
          <w:szCs w:val="32"/>
        </w:rPr>
        <w:t>76</w:t>
      </w:r>
      <w:r>
        <w:rPr>
          <w:rFonts w:ascii="仿宋" w:eastAsia="仿宋" w:hAnsi="仿宋" w:hint="eastAsia"/>
          <w:sz w:val="32"/>
          <w:szCs w:val="32"/>
        </w:rPr>
        <w:t>件相比，</w:t>
      </w:r>
      <w:r w:rsidR="00DD5B7E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少</w:t>
      </w:r>
      <w:r w:rsidR="00F935DC">
        <w:rPr>
          <w:rFonts w:ascii="仿宋" w:eastAsia="仿宋" w:hAnsi="仿宋" w:hint="eastAsia"/>
          <w:sz w:val="32"/>
          <w:szCs w:val="32"/>
        </w:rPr>
        <w:t>1</w:t>
      </w:r>
      <w:r w:rsidR="00DD5B7E">
        <w:rPr>
          <w:rFonts w:ascii="仿宋" w:eastAsia="仿宋" w:hAnsi="仿宋" w:hint="eastAsia"/>
          <w:sz w:val="32"/>
          <w:szCs w:val="32"/>
        </w:rPr>
        <w:t>件，上升</w:t>
      </w:r>
      <w:r>
        <w:rPr>
          <w:rFonts w:ascii="仿宋" w:eastAsia="仿宋" w:hAnsi="仿宋" w:hint="eastAsia"/>
          <w:sz w:val="32"/>
          <w:szCs w:val="32"/>
        </w:rPr>
        <w:t>1</w:t>
      </w:r>
      <w:r w:rsidR="00F935DC">
        <w:rPr>
          <w:rFonts w:ascii="仿宋" w:eastAsia="仿宋" w:hAnsi="仿宋" w:hint="eastAsia"/>
          <w:sz w:val="32"/>
          <w:szCs w:val="32"/>
        </w:rPr>
        <w:t>.32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(一) 各院未结案件占两级法院比例情况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按未结案件占两级法院未结案件的比例排序，</w:t>
      </w:r>
      <w:r w:rsidR="002C22DA">
        <w:rPr>
          <w:rFonts w:ascii="仿宋" w:eastAsia="仿宋" w:hAnsi="仿宋" w:hint="eastAsia"/>
          <w:sz w:val="32"/>
          <w:szCs w:val="32"/>
        </w:rPr>
        <w:t>由高到低分别</w:t>
      </w:r>
      <w:r>
        <w:rPr>
          <w:rFonts w:ascii="仿宋" w:eastAsia="仿宋" w:hAnsi="仿宋" w:hint="eastAsia"/>
          <w:sz w:val="32"/>
          <w:szCs w:val="32"/>
        </w:rPr>
        <w:t>为</w:t>
      </w:r>
      <w:r w:rsidR="00FC2782">
        <w:rPr>
          <w:rFonts w:ascii="仿宋" w:eastAsia="仿宋" w:hAnsi="仿宋" w:hint="eastAsia"/>
          <w:sz w:val="32"/>
          <w:szCs w:val="32"/>
        </w:rPr>
        <w:t>：</w:t>
      </w:r>
      <w:r w:rsidR="005250CB">
        <w:rPr>
          <w:rFonts w:ascii="仿宋" w:eastAsia="仿宋" w:hAnsi="仿宋" w:hint="eastAsia"/>
          <w:sz w:val="32"/>
          <w:szCs w:val="32"/>
        </w:rPr>
        <w:t>抚松</w:t>
      </w:r>
      <w:r>
        <w:rPr>
          <w:rFonts w:ascii="仿宋" w:eastAsia="仿宋" w:hAnsi="仿宋" w:hint="eastAsia"/>
          <w:sz w:val="32"/>
          <w:szCs w:val="32"/>
        </w:rPr>
        <w:t>院</w:t>
      </w:r>
      <w:r w:rsidR="007F34DF">
        <w:rPr>
          <w:rFonts w:ascii="仿宋" w:eastAsia="仿宋" w:hAnsi="仿宋" w:hint="eastAsia"/>
          <w:sz w:val="32"/>
          <w:szCs w:val="32"/>
        </w:rPr>
        <w:t>33.77</w:t>
      </w:r>
      <w:r>
        <w:rPr>
          <w:rFonts w:ascii="仿宋" w:eastAsia="仿宋" w:hAnsi="仿宋" w:hint="eastAsia"/>
          <w:sz w:val="32"/>
          <w:szCs w:val="32"/>
        </w:rPr>
        <w:t>%、</w:t>
      </w:r>
      <w:r w:rsidR="004C7A44">
        <w:rPr>
          <w:rFonts w:ascii="仿宋" w:eastAsia="仿宋" w:hAnsi="仿宋" w:hint="eastAsia"/>
          <w:sz w:val="32"/>
          <w:szCs w:val="32"/>
        </w:rPr>
        <w:t>白石山</w:t>
      </w:r>
      <w:r>
        <w:rPr>
          <w:rFonts w:ascii="仿宋" w:eastAsia="仿宋" w:hAnsi="仿宋" w:hint="eastAsia"/>
          <w:sz w:val="32"/>
          <w:szCs w:val="32"/>
        </w:rPr>
        <w:t>院</w:t>
      </w:r>
      <w:r w:rsidR="007F34DF">
        <w:rPr>
          <w:rFonts w:ascii="仿宋" w:eastAsia="仿宋" w:hAnsi="仿宋" w:hint="eastAsia"/>
          <w:sz w:val="32"/>
          <w:szCs w:val="32"/>
        </w:rPr>
        <w:t>18.18</w:t>
      </w:r>
      <w:r>
        <w:rPr>
          <w:rFonts w:ascii="仿宋" w:eastAsia="仿宋" w:hAnsi="仿宋" w:hint="eastAsia"/>
          <w:sz w:val="32"/>
          <w:szCs w:val="32"/>
        </w:rPr>
        <w:t>%、</w:t>
      </w:r>
      <w:r w:rsidR="004C7A44">
        <w:rPr>
          <w:rFonts w:ascii="仿宋" w:eastAsia="仿宋" w:hAnsi="仿宋" w:hint="eastAsia"/>
          <w:sz w:val="32"/>
          <w:szCs w:val="32"/>
        </w:rPr>
        <w:t>红石</w:t>
      </w:r>
      <w:r>
        <w:rPr>
          <w:rFonts w:ascii="仿宋" w:eastAsia="仿宋" w:hAnsi="仿宋" w:hint="eastAsia"/>
          <w:sz w:val="32"/>
          <w:szCs w:val="32"/>
        </w:rPr>
        <w:t>院</w:t>
      </w:r>
      <w:r w:rsidR="007F34DF">
        <w:rPr>
          <w:rFonts w:ascii="仿宋" w:eastAsia="仿宋" w:hAnsi="仿宋" w:hint="eastAsia"/>
          <w:sz w:val="32"/>
          <w:szCs w:val="32"/>
        </w:rPr>
        <w:t>15.58</w:t>
      </w:r>
      <w:r>
        <w:rPr>
          <w:rFonts w:ascii="仿宋" w:eastAsia="仿宋" w:hAnsi="仿宋" w:hint="eastAsia"/>
          <w:sz w:val="32"/>
          <w:szCs w:val="32"/>
        </w:rPr>
        <w:t>%、</w:t>
      </w:r>
      <w:r w:rsidR="004C7A44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院</w:t>
      </w:r>
      <w:r w:rsidR="007F34DF">
        <w:rPr>
          <w:rFonts w:ascii="仿宋" w:eastAsia="仿宋" w:hAnsi="仿宋" w:hint="eastAsia"/>
          <w:sz w:val="32"/>
          <w:szCs w:val="32"/>
        </w:rPr>
        <w:t>14.29</w:t>
      </w:r>
      <w:r>
        <w:rPr>
          <w:rFonts w:ascii="仿宋" w:eastAsia="仿宋" w:hAnsi="仿宋" w:hint="eastAsia"/>
          <w:sz w:val="32"/>
          <w:szCs w:val="32"/>
        </w:rPr>
        <w:t>%、江源院</w:t>
      </w:r>
      <w:r w:rsidR="007F34DF">
        <w:rPr>
          <w:rFonts w:ascii="仿宋" w:eastAsia="仿宋" w:hAnsi="仿宋" w:hint="eastAsia"/>
          <w:sz w:val="32"/>
          <w:szCs w:val="32"/>
        </w:rPr>
        <w:t>11.69</w:t>
      </w:r>
      <w:r>
        <w:rPr>
          <w:rFonts w:ascii="仿宋" w:eastAsia="仿宋" w:hAnsi="仿宋" w:hint="eastAsia"/>
          <w:sz w:val="32"/>
          <w:szCs w:val="32"/>
        </w:rPr>
        <w:t>%、临江院</w:t>
      </w:r>
      <w:r w:rsidR="007F34DF">
        <w:rPr>
          <w:rFonts w:ascii="仿宋" w:eastAsia="仿宋" w:hAnsi="仿宋" w:hint="eastAsia"/>
          <w:sz w:val="32"/>
          <w:szCs w:val="32"/>
        </w:rPr>
        <w:t>6.49</w:t>
      </w:r>
      <w:r>
        <w:rPr>
          <w:rFonts w:ascii="仿宋" w:eastAsia="仿宋" w:hAnsi="仿宋" w:hint="eastAsia"/>
          <w:sz w:val="32"/>
          <w:szCs w:val="32"/>
        </w:rPr>
        <w:t>%。各院未结案件</w:t>
      </w:r>
      <w:r>
        <w:rPr>
          <w:rFonts w:ascii="仿宋" w:eastAsia="仿宋" w:hAnsi="仿宋" w:hint="eastAsia"/>
          <w:sz w:val="32"/>
          <w:szCs w:val="32"/>
        </w:rPr>
        <w:lastRenderedPageBreak/>
        <w:t>占两级法院比例情况如图18所示：</w:t>
      </w:r>
    </w:p>
    <w:p w:rsidR="00123E46" w:rsidRDefault="00363513" w:rsidP="00E71DEA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图18  各院未结案件占两级法院比例情况</w:t>
      </w:r>
    </w:p>
    <w:p w:rsidR="00123E46" w:rsidRDefault="00363513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001260" cy="2625090"/>
            <wp:effectExtent l="0" t="0" r="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（二）各院未结审判类案件同比情况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与2017年</w:t>
      </w:r>
      <w:r w:rsidR="002C22DA">
        <w:rPr>
          <w:rFonts w:ascii="仿宋" w:eastAsia="仿宋" w:hAnsi="仿宋" w:hint="eastAsia"/>
          <w:sz w:val="32"/>
          <w:szCs w:val="32"/>
        </w:rPr>
        <w:t>同期</w:t>
      </w:r>
      <w:r w:rsidR="00BC15C5">
        <w:rPr>
          <w:rFonts w:ascii="仿宋" w:eastAsia="仿宋" w:hAnsi="仿宋" w:hint="eastAsia"/>
          <w:sz w:val="32"/>
          <w:szCs w:val="32"/>
        </w:rPr>
        <w:t>相比，抚松院、江源</w:t>
      </w:r>
      <w:r>
        <w:rPr>
          <w:rFonts w:ascii="仿宋" w:eastAsia="仿宋" w:hAnsi="仿宋" w:hint="eastAsia"/>
          <w:sz w:val="32"/>
          <w:szCs w:val="32"/>
        </w:rPr>
        <w:t>院</w:t>
      </w:r>
      <w:r w:rsidR="00BC15C5">
        <w:rPr>
          <w:rFonts w:ascii="仿宋" w:eastAsia="仿宋" w:hAnsi="仿宋" w:hint="eastAsia"/>
          <w:sz w:val="32"/>
          <w:szCs w:val="32"/>
        </w:rPr>
        <w:t>、白石山院</w:t>
      </w:r>
      <w:r>
        <w:rPr>
          <w:rFonts w:ascii="仿宋" w:eastAsia="仿宋" w:hAnsi="仿宋" w:hint="eastAsia"/>
          <w:sz w:val="32"/>
          <w:szCs w:val="32"/>
        </w:rPr>
        <w:t>未结案件有所上</w:t>
      </w:r>
      <w:r w:rsidR="00BC15C5">
        <w:rPr>
          <w:rFonts w:ascii="仿宋" w:eastAsia="仿宋" w:hAnsi="仿宋" w:hint="eastAsia"/>
          <w:sz w:val="32"/>
          <w:szCs w:val="32"/>
        </w:rPr>
        <w:t>升</w:t>
      </w:r>
      <w:r>
        <w:rPr>
          <w:rFonts w:ascii="仿宋" w:eastAsia="仿宋" w:hAnsi="仿宋" w:hint="eastAsia"/>
          <w:sz w:val="32"/>
          <w:szCs w:val="32"/>
        </w:rPr>
        <w:t>，其他各院未结案件均有所下降。各院未结审判类案件同比情况如图19所示：</w:t>
      </w:r>
    </w:p>
    <w:p w:rsidR="00123E46" w:rsidRDefault="00363513">
      <w:pPr>
        <w:ind w:firstLineChars="200" w:firstLine="562"/>
        <w:jc w:val="center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图19   各院未结审判类案件同比情况  （单位：件）</w:t>
      </w:r>
    </w:p>
    <w:p w:rsidR="00123E46" w:rsidRDefault="003635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123815" cy="222504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320C" w:rsidRDefault="000F320C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p w:rsidR="000F320C" w:rsidRDefault="000F320C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p w:rsidR="000F320C" w:rsidRDefault="000F320C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p w:rsidR="00123E46" w:rsidRPr="00DA274B" w:rsidRDefault="00363513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274B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七、长期未结诉讼案件情况</w:t>
      </w:r>
    </w:p>
    <w:p w:rsidR="000E4D84" w:rsidRPr="004B3AD9" w:rsidRDefault="00363513" w:rsidP="004B3A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</w:t>
      </w:r>
      <w:r w:rsidR="00B2085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月30日，两级法院审理时间超过一年（自立案之日起计算，不考虑扣除审限情况）的未结诉讼案件共</w:t>
      </w:r>
      <w:r w:rsidR="00B2085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件，</w:t>
      </w:r>
      <w:r w:rsidR="008B1990">
        <w:rPr>
          <w:rFonts w:ascii="仿宋" w:eastAsia="仿宋" w:hAnsi="仿宋" w:hint="eastAsia"/>
          <w:sz w:val="32"/>
          <w:szCs w:val="32"/>
        </w:rPr>
        <w:t>均为红石院案件，</w:t>
      </w:r>
      <w:r>
        <w:rPr>
          <w:rFonts w:ascii="仿宋" w:eastAsia="仿宋" w:hAnsi="仿宋" w:hint="eastAsia"/>
          <w:sz w:val="32"/>
          <w:szCs w:val="32"/>
        </w:rPr>
        <w:t>未结原因为被告人涉嫌犯罪在南京羁押，当地规定不允许向在押人员送达司法文书</w:t>
      </w:r>
      <w:r w:rsidR="006E1C24">
        <w:rPr>
          <w:rFonts w:ascii="仿宋" w:eastAsia="仿宋" w:hAnsi="仿宋" w:hint="eastAsia"/>
          <w:sz w:val="32"/>
          <w:szCs w:val="32"/>
        </w:rPr>
        <w:t>(</w:t>
      </w:r>
      <w:r w:rsidR="00E50C61">
        <w:rPr>
          <w:rFonts w:ascii="仿宋" w:eastAsia="仿宋" w:hAnsi="仿宋" w:hint="eastAsia"/>
          <w:sz w:val="32"/>
          <w:szCs w:val="32"/>
        </w:rPr>
        <w:t>现已审结7件，另外1件十一月份能够审结</w:t>
      </w:r>
      <w:r w:rsidR="006E1C24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</w:t>
      </w:r>
      <w:r w:rsidR="005C6C6D">
        <w:rPr>
          <w:rFonts w:ascii="仿宋" w:eastAsia="仿宋" w:hAnsi="仿宋" w:hint="eastAsia"/>
          <w:sz w:val="32"/>
          <w:szCs w:val="32"/>
        </w:rPr>
        <w:t>红石</w:t>
      </w:r>
      <w:r>
        <w:rPr>
          <w:rFonts w:ascii="仿宋" w:eastAsia="仿宋" w:hAnsi="仿宋" w:hint="eastAsia"/>
          <w:sz w:val="32"/>
          <w:szCs w:val="32"/>
        </w:rPr>
        <w:t>院未结案件具体情况如图20所示：</w:t>
      </w:r>
    </w:p>
    <w:p w:rsidR="00123E46" w:rsidRDefault="00363513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图20  各院长期未结案件具体情况</w:t>
      </w:r>
    </w:p>
    <w:tbl>
      <w:tblPr>
        <w:tblW w:w="8428" w:type="dxa"/>
        <w:tblInd w:w="94" w:type="dxa"/>
        <w:tblLayout w:type="fixed"/>
        <w:tblLook w:val="04A0"/>
      </w:tblPr>
      <w:tblGrid>
        <w:gridCol w:w="417"/>
        <w:gridCol w:w="1157"/>
        <w:gridCol w:w="2268"/>
        <w:gridCol w:w="992"/>
        <w:gridCol w:w="709"/>
        <w:gridCol w:w="567"/>
        <w:gridCol w:w="425"/>
        <w:gridCol w:w="567"/>
        <w:gridCol w:w="567"/>
        <w:gridCol w:w="759"/>
      </w:tblGrid>
      <w:tr w:rsidR="00123E46">
        <w:trPr>
          <w:trHeight w:val="100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案号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案件名称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立案</w:t>
            </w:r>
          </w:p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法院名称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扣除审限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实际审理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法定审限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实际审限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审限届满日期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鲍成梅等诉王佩伍等追偿权纠纷一案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2017-04-24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民事侯卫东申请合同、无因管理、不当得利纠纷再审审查一案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民事胡本平申请合同、无因管理、不当得利纠纷再审审查一案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民事张振国申请合同、无因管理、不当得利纠纷再审审查一案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民事唐朝君申请合同、无因管理、不当得利纠纷再审审查一案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民事潘立伟申请合同、无因管理、不当得利纠纷再审审查一案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民事陈东胜申请合同、无因管理、不当得利纠纷再审审查一案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08-23</w:t>
            </w:r>
          </w:p>
        </w:tc>
      </w:tr>
      <w:tr w:rsidR="00123E46">
        <w:trPr>
          <w:trHeight w:val="100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7603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民申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民事赵春荣申请合同、无因管理、不当得利纠纷再审审查一案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2017-08-30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红石院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E46" w:rsidRDefault="003635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8-23</w:t>
            </w:r>
          </w:p>
        </w:tc>
      </w:tr>
    </w:tbl>
    <w:p w:rsidR="00123E46" w:rsidRDefault="00363513">
      <w:pPr>
        <w:spacing w:line="56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八、两级法院执行工作总体情况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（一）全部执行类案件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两级法院旧存执行案件</w:t>
      </w:r>
      <w:r w:rsidR="004A079F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件，新收</w:t>
      </w:r>
      <w:r w:rsidR="00766820">
        <w:rPr>
          <w:rFonts w:ascii="仿宋" w:eastAsia="仿宋" w:hAnsi="仿宋" w:hint="eastAsia"/>
          <w:sz w:val="32"/>
          <w:szCs w:val="32"/>
        </w:rPr>
        <w:t>149</w:t>
      </w:r>
      <w:r>
        <w:rPr>
          <w:rFonts w:ascii="仿宋" w:eastAsia="仿宋" w:hAnsi="仿宋" w:hint="eastAsia"/>
          <w:sz w:val="32"/>
          <w:szCs w:val="32"/>
        </w:rPr>
        <w:t>件，旧存加新收合计</w:t>
      </w:r>
      <w:r w:rsidR="004A079F">
        <w:rPr>
          <w:rFonts w:ascii="仿宋" w:eastAsia="仿宋" w:hAnsi="仿宋" w:hint="eastAsia"/>
          <w:sz w:val="32"/>
          <w:szCs w:val="32"/>
        </w:rPr>
        <w:t>166</w:t>
      </w:r>
      <w:r>
        <w:rPr>
          <w:rFonts w:ascii="仿宋" w:eastAsia="仿宋" w:hAnsi="仿宋" w:hint="eastAsia"/>
          <w:sz w:val="32"/>
          <w:szCs w:val="32"/>
        </w:rPr>
        <w:t>件，结案</w:t>
      </w:r>
      <w:r w:rsidR="004A079F">
        <w:rPr>
          <w:rFonts w:ascii="仿宋" w:eastAsia="仿宋" w:hAnsi="仿宋" w:hint="eastAsia"/>
          <w:sz w:val="32"/>
          <w:szCs w:val="32"/>
        </w:rPr>
        <w:t>134</w:t>
      </w:r>
      <w:r>
        <w:rPr>
          <w:rFonts w:ascii="仿宋" w:eastAsia="仿宋" w:hAnsi="仿宋" w:hint="eastAsia"/>
          <w:sz w:val="32"/>
          <w:szCs w:val="32"/>
        </w:rPr>
        <w:t>件，结案率为</w:t>
      </w:r>
      <w:r w:rsidR="004A079F">
        <w:rPr>
          <w:rFonts w:ascii="仿宋" w:eastAsia="仿宋" w:hAnsi="仿宋" w:hint="eastAsia"/>
          <w:sz w:val="32"/>
          <w:szCs w:val="32"/>
        </w:rPr>
        <w:t>80.72</w:t>
      </w:r>
      <w:r>
        <w:rPr>
          <w:rFonts w:ascii="仿宋" w:eastAsia="仿宋" w:hAnsi="仿宋" w:hint="eastAsia"/>
          <w:sz w:val="32"/>
          <w:szCs w:val="32"/>
        </w:rPr>
        <w:t>%,未结案件</w:t>
      </w:r>
      <w:r w:rsidR="004A079F">
        <w:rPr>
          <w:rFonts w:ascii="仿宋" w:eastAsia="仿宋" w:hAnsi="仿宋" w:hint="eastAsia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件。首次执行案件实际到位金额</w:t>
      </w:r>
      <w:r w:rsidR="00766820">
        <w:rPr>
          <w:rFonts w:ascii="仿宋" w:eastAsia="仿宋" w:hAnsi="仿宋" w:hint="eastAsia"/>
          <w:sz w:val="32"/>
          <w:szCs w:val="32"/>
        </w:rPr>
        <w:t>5</w:t>
      </w:r>
      <w:r w:rsidR="004A079F">
        <w:rPr>
          <w:rFonts w:ascii="仿宋" w:eastAsia="仿宋" w:hAnsi="仿宋" w:hint="eastAsia"/>
          <w:sz w:val="32"/>
          <w:szCs w:val="32"/>
        </w:rPr>
        <w:t>30.26</w:t>
      </w:r>
      <w:r>
        <w:rPr>
          <w:rFonts w:ascii="仿宋" w:eastAsia="仿宋" w:hAnsi="仿宋" w:hint="eastAsia"/>
          <w:sz w:val="32"/>
          <w:szCs w:val="32"/>
        </w:rPr>
        <w:t>万元，恢复执行案件实际执行到位金额</w:t>
      </w:r>
      <w:r w:rsidR="004A079F">
        <w:rPr>
          <w:rFonts w:ascii="仿宋" w:eastAsia="仿宋" w:hAnsi="仿宋" w:hint="eastAsia"/>
          <w:sz w:val="32"/>
          <w:szCs w:val="32"/>
        </w:rPr>
        <w:t>82.57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与2017年</w:t>
      </w:r>
      <w:r w:rsidR="00152401">
        <w:rPr>
          <w:rFonts w:ascii="仿宋" w:eastAsia="仿宋" w:hAnsi="仿宋" w:hint="eastAsia"/>
          <w:sz w:val="32"/>
          <w:szCs w:val="32"/>
        </w:rPr>
        <w:t>同期</w:t>
      </w:r>
      <w:r>
        <w:rPr>
          <w:rFonts w:ascii="仿宋" w:eastAsia="仿宋" w:hAnsi="仿宋" w:hint="eastAsia"/>
          <w:sz w:val="32"/>
          <w:szCs w:val="32"/>
        </w:rPr>
        <w:t>相比，旧存减少2件，下降</w:t>
      </w:r>
      <w:r w:rsidR="00766820">
        <w:rPr>
          <w:rFonts w:ascii="仿宋" w:eastAsia="仿宋" w:hAnsi="仿宋" w:hint="eastAsia"/>
          <w:sz w:val="32"/>
          <w:szCs w:val="32"/>
        </w:rPr>
        <w:t>10.53</w:t>
      </w:r>
      <w:r>
        <w:rPr>
          <w:rFonts w:ascii="仿宋" w:eastAsia="仿宋" w:hAnsi="仿宋" w:hint="eastAsia"/>
          <w:sz w:val="32"/>
          <w:szCs w:val="32"/>
        </w:rPr>
        <w:t>%；新收减少</w:t>
      </w:r>
      <w:r w:rsidR="00766820">
        <w:rPr>
          <w:rFonts w:ascii="仿宋" w:eastAsia="仿宋" w:hAnsi="仿宋" w:hint="eastAsia"/>
          <w:sz w:val="32"/>
          <w:szCs w:val="32"/>
        </w:rPr>
        <w:t>52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766820">
        <w:rPr>
          <w:rFonts w:ascii="仿宋" w:eastAsia="仿宋" w:hAnsi="仿宋" w:hint="eastAsia"/>
          <w:sz w:val="32"/>
          <w:szCs w:val="32"/>
        </w:rPr>
        <w:t>25.87</w:t>
      </w:r>
      <w:r>
        <w:rPr>
          <w:rFonts w:ascii="仿宋" w:eastAsia="仿宋" w:hAnsi="仿宋" w:hint="eastAsia"/>
          <w:sz w:val="32"/>
          <w:szCs w:val="32"/>
        </w:rPr>
        <w:t>%；旧存加新收合计减少</w:t>
      </w:r>
      <w:r w:rsidR="00766820"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766820">
        <w:rPr>
          <w:rFonts w:ascii="仿宋" w:eastAsia="仿宋" w:hAnsi="仿宋" w:hint="eastAsia"/>
          <w:sz w:val="32"/>
          <w:szCs w:val="32"/>
        </w:rPr>
        <w:t>24.55</w:t>
      </w:r>
      <w:r>
        <w:rPr>
          <w:rFonts w:ascii="仿宋" w:eastAsia="仿宋" w:hAnsi="仿宋" w:hint="eastAsia"/>
          <w:sz w:val="32"/>
          <w:szCs w:val="32"/>
        </w:rPr>
        <w:t>%；结案减少</w:t>
      </w:r>
      <w:r w:rsidR="00164406">
        <w:rPr>
          <w:rFonts w:ascii="仿宋" w:eastAsia="仿宋" w:hAnsi="仿宋" w:hint="eastAsia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件，下降</w:t>
      </w:r>
      <w:r w:rsidR="00164406">
        <w:rPr>
          <w:rFonts w:ascii="仿宋" w:eastAsia="仿宋" w:hAnsi="仿宋" w:hint="eastAsia"/>
          <w:sz w:val="32"/>
          <w:szCs w:val="32"/>
        </w:rPr>
        <w:t>19.28</w:t>
      </w:r>
      <w:r>
        <w:rPr>
          <w:rFonts w:ascii="仿宋" w:eastAsia="仿宋" w:hAnsi="仿宋" w:hint="eastAsia"/>
          <w:sz w:val="32"/>
          <w:szCs w:val="32"/>
        </w:rPr>
        <w:t xml:space="preserve"> %；结案率上升</w:t>
      </w:r>
      <w:r w:rsidR="00164406">
        <w:rPr>
          <w:rFonts w:ascii="仿宋" w:eastAsia="仿宋" w:hAnsi="仿宋" w:hint="eastAsia"/>
          <w:sz w:val="32"/>
          <w:szCs w:val="32"/>
        </w:rPr>
        <w:t>5.27</w:t>
      </w:r>
      <w:r>
        <w:rPr>
          <w:rFonts w:ascii="仿宋" w:eastAsia="仿宋" w:hAnsi="仿宋" w:hint="eastAsia"/>
          <w:sz w:val="32"/>
          <w:szCs w:val="32"/>
        </w:rPr>
        <w:t>个百分点。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（二）首次执行案件</w:t>
      </w:r>
    </w:p>
    <w:p w:rsidR="00123E46" w:rsidRDefault="00363513" w:rsidP="005215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，两级法院首次执行案件总数</w:t>
      </w:r>
      <w:r w:rsidR="00D910B6">
        <w:rPr>
          <w:rFonts w:ascii="仿宋" w:eastAsia="仿宋" w:hAnsi="仿宋" w:hint="eastAsia"/>
          <w:sz w:val="32"/>
          <w:szCs w:val="32"/>
        </w:rPr>
        <w:t>111</w:t>
      </w:r>
      <w:r>
        <w:rPr>
          <w:rFonts w:ascii="仿宋" w:eastAsia="仿宋" w:hAnsi="仿宋" w:hint="eastAsia"/>
          <w:sz w:val="32"/>
          <w:szCs w:val="32"/>
        </w:rPr>
        <w:t>件，其中旧存</w:t>
      </w:r>
      <w:r w:rsidR="00CD6A0A">
        <w:rPr>
          <w:rFonts w:ascii="仿宋" w:eastAsia="仿宋" w:hAnsi="仿宋" w:hint="eastAsia"/>
          <w:sz w:val="32"/>
          <w:szCs w:val="32"/>
        </w:rPr>
        <w:t>首次</w:t>
      </w:r>
      <w:r>
        <w:rPr>
          <w:rFonts w:ascii="仿宋" w:eastAsia="仿宋" w:hAnsi="仿宋" w:hint="eastAsia"/>
          <w:sz w:val="32"/>
          <w:szCs w:val="32"/>
        </w:rPr>
        <w:t>执行案件</w:t>
      </w:r>
      <w:r w:rsidR="00A1411F">
        <w:rPr>
          <w:rFonts w:ascii="仿宋" w:eastAsia="仿宋" w:hAnsi="仿宋" w:hint="eastAsia"/>
          <w:sz w:val="32"/>
          <w:szCs w:val="32"/>
        </w:rPr>
        <w:t>1</w:t>
      </w:r>
      <w:r w:rsidR="00D910B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件，新收</w:t>
      </w:r>
      <w:r w:rsidR="00CD6A0A">
        <w:rPr>
          <w:rFonts w:ascii="仿宋" w:eastAsia="仿宋" w:hAnsi="仿宋" w:hint="eastAsia"/>
          <w:sz w:val="32"/>
          <w:szCs w:val="32"/>
        </w:rPr>
        <w:t>首次</w:t>
      </w:r>
      <w:r>
        <w:rPr>
          <w:rFonts w:ascii="仿宋" w:eastAsia="仿宋" w:hAnsi="仿宋" w:hint="eastAsia"/>
          <w:sz w:val="32"/>
          <w:szCs w:val="32"/>
        </w:rPr>
        <w:t>执行案件</w:t>
      </w:r>
      <w:r w:rsidR="00D910B6">
        <w:rPr>
          <w:rFonts w:ascii="仿宋" w:eastAsia="仿宋" w:hAnsi="仿宋" w:hint="eastAsia"/>
          <w:sz w:val="32"/>
          <w:szCs w:val="32"/>
        </w:rPr>
        <w:t>97</w:t>
      </w:r>
      <w:r>
        <w:rPr>
          <w:rFonts w:ascii="仿宋" w:eastAsia="仿宋" w:hAnsi="仿宋" w:hint="eastAsia"/>
          <w:sz w:val="32"/>
          <w:szCs w:val="32"/>
        </w:rPr>
        <w:t>件。长春林区两级法院新收</w:t>
      </w:r>
      <w:r w:rsidR="008C2755">
        <w:rPr>
          <w:rFonts w:ascii="仿宋" w:eastAsia="仿宋" w:hAnsi="仿宋" w:hint="eastAsia"/>
          <w:sz w:val="32"/>
          <w:szCs w:val="32"/>
        </w:rPr>
        <w:t>首次</w:t>
      </w:r>
      <w:r>
        <w:rPr>
          <w:rFonts w:ascii="仿宋" w:eastAsia="仿宋" w:hAnsi="仿宋" w:hint="eastAsia"/>
          <w:sz w:val="32"/>
          <w:szCs w:val="32"/>
        </w:rPr>
        <w:t>执行案件最多的两个基层法院</w:t>
      </w:r>
      <w:r w:rsidR="00152401">
        <w:rPr>
          <w:rFonts w:ascii="仿宋" w:eastAsia="仿宋" w:hAnsi="仿宋" w:hint="eastAsia"/>
          <w:sz w:val="32"/>
          <w:szCs w:val="32"/>
        </w:rPr>
        <w:t>分别</w:t>
      </w:r>
      <w:r>
        <w:rPr>
          <w:rFonts w:ascii="仿宋" w:eastAsia="仿宋" w:hAnsi="仿宋" w:hint="eastAsia"/>
          <w:sz w:val="32"/>
          <w:szCs w:val="32"/>
        </w:rPr>
        <w:t>是抚松林区基层法院</w:t>
      </w:r>
      <w:r w:rsidR="00D910B6">
        <w:rPr>
          <w:rFonts w:ascii="仿宋" w:eastAsia="仿宋" w:hAnsi="仿宋" w:hint="eastAsia"/>
          <w:sz w:val="32"/>
          <w:szCs w:val="32"/>
        </w:rPr>
        <w:t>37</w:t>
      </w:r>
      <w:r>
        <w:rPr>
          <w:rFonts w:ascii="仿宋" w:eastAsia="仿宋" w:hAnsi="仿宋" w:hint="eastAsia"/>
          <w:sz w:val="32"/>
          <w:szCs w:val="32"/>
        </w:rPr>
        <w:t>件，红石林区基层法院</w:t>
      </w:r>
      <w:r w:rsidR="00D910B6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件</w:t>
      </w:r>
      <w:r w:rsidR="00D910B6">
        <w:rPr>
          <w:rFonts w:ascii="仿宋" w:eastAsia="仿宋" w:hAnsi="仿宋" w:hint="eastAsia"/>
          <w:sz w:val="32"/>
          <w:szCs w:val="32"/>
        </w:rPr>
        <w:t>。</w:t>
      </w:r>
    </w:p>
    <w:p w:rsidR="001A2481" w:rsidRDefault="001A2481" w:rsidP="005215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首次执行案件实际执结66件（</w:t>
      </w:r>
      <w:r w:rsidR="00981217">
        <w:rPr>
          <w:rFonts w:ascii="仿宋" w:eastAsia="仿宋" w:hAnsi="仿宋" w:hint="eastAsia"/>
          <w:sz w:val="32"/>
          <w:szCs w:val="32"/>
        </w:rPr>
        <w:t>执行完毕37件，终结执行28件，驳回申请1件，不予执行0件，销案0件</w:t>
      </w:r>
      <w:r>
        <w:rPr>
          <w:rFonts w:ascii="仿宋" w:eastAsia="仿宋" w:hAnsi="仿宋" w:hint="eastAsia"/>
          <w:sz w:val="32"/>
          <w:szCs w:val="32"/>
        </w:rPr>
        <w:t>）</w:t>
      </w:r>
      <w:r w:rsidR="00981217">
        <w:rPr>
          <w:rFonts w:ascii="仿宋" w:eastAsia="仿宋" w:hAnsi="仿宋" w:hint="eastAsia"/>
          <w:sz w:val="32"/>
          <w:szCs w:val="32"/>
        </w:rPr>
        <w:t>，终本22件，未结23件。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，两级院首次执行案件实际执结率（实际执结案件数/首次执行案件数）为</w:t>
      </w:r>
      <w:r w:rsidR="00981217">
        <w:rPr>
          <w:rFonts w:ascii="仿宋" w:eastAsia="仿宋" w:hAnsi="仿宋" w:hint="eastAsia"/>
          <w:sz w:val="32"/>
          <w:szCs w:val="32"/>
        </w:rPr>
        <w:t>59.46</w:t>
      </w:r>
      <w:r>
        <w:rPr>
          <w:rFonts w:ascii="仿宋" w:eastAsia="仿宋" w:hAnsi="仿宋" w:hint="eastAsia"/>
          <w:sz w:val="32"/>
          <w:szCs w:val="32"/>
        </w:rPr>
        <w:t>%；执行完毕率（执行完毕案件数/首次执行案件数）为</w:t>
      </w:r>
      <w:r w:rsidR="00981217">
        <w:rPr>
          <w:rFonts w:ascii="仿宋" w:eastAsia="仿宋" w:hAnsi="仿宋" w:hint="eastAsia"/>
          <w:sz w:val="32"/>
          <w:szCs w:val="32"/>
        </w:rPr>
        <w:t>33.33</w:t>
      </w:r>
      <w:r>
        <w:rPr>
          <w:rFonts w:ascii="仿宋" w:eastAsia="仿宋" w:hAnsi="仿宋" w:hint="eastAsia"/>
          <w:sz w:val="32"/>
          <w:szCs w:val="32"/>
        </w:rPr>
        <w:t>%；终本率（终本案件数/首次执行案件数）为</w:t>
      </w:r>
      <w:r w:rsidR="00981217">
        <w:rPr>
          <w:rFonts w:ascii="仿宋" w:eastAsia="仿宋" w:hAnsi="仿宋" w:hint="eastAsia"/>
          <w:sz w:val="32"/>
          <w:szCs w:val="32"/>
        </w:rPr>
        <w:t>19.81</w:t>
      </w:r>
      <w:r>
        <w:rPr>
          <w:rFonts w:ascii="仿宋" w:eastAsia="仿宋" w:hAnsi="仿宋" w:hint="eastAsia"/>
          <w:sz w:val="32"/>
          <w:szCs w:val="32"/>
        </w:rPr>
        <w:t>%。各院实际执结率、执行完毕率、终本率分别如图22、23、24所示：</w:t>
      </w:r>
    </w:p>
    <w:p w:rsidR="00C109D0" w:rsidRDefault="00C109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3E46" w:rsidRDefault="00363513">
      <w:pPr>
        <w:ind w:firstLineChars="177" w:firstLine="498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32"/>
        </w:rPr>
        <w:lastRenderedPageBreak/>
        <w:t>图22 各院实际执结率</w:t>
      </w:r>
      <w:r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>
            <wp:extent cx="4933950" cy="267398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23E46" w:rsidRDefault="00123E46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</w:p>
    <w:p w:rsidR="00123E46" w:rsidRDefault="00363513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32"/>
        </w:rPr>
        <w:t>图23   各院执行完毕率</w:t>
      </w:r>
    </w:p>
    <w:p w:rsidR="00123E46" w:rsidRDefault="00363513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>
            <wp:extent cx="4839335" cy="276034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23E46" w:rsidRDefault="00123E46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</w:p>
    <w:p w:rsidR="000F320C" w:rsidRDefault="000F320C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</w:p>
    <w:p w:rsidR="000F320C" w:rsidRDefault="000F320C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</w:p>
    <w:p w:rsidR="000F320C" w:rsidRDefault="000F320C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</w:p>
    <w:p w:rsidR="000F320C" w:rsidRDefault="000F320C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</w:p>
    <w:p w:rsidR="00123E46" w:rsidRDefault="00363513">
      <w:pPr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32"/>
        </w:rPr>
        <w:lastRenderedPageBreak/>
        <w:t>图24   各院终本率</w:t>
      </w:r>
    </w:p>
    <w:p w:rsidR="00123E46" w:rsidRDefault="0036351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0" distR="0">
            <wp:extent cx="4645660" cy="254444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，两级法院首次执行实施案件实际执行到位金额</w:t>
      </w:r>
      <w:r w:rsidR="00981217">
        <w:rPr>
          <w:rFonts w:ascii="仿宋" w:eastAsia="仿宋" w:hAnsi="仿宋" w:hint="eastAsia"/>
          <w:sz w:val="32"/>
          <w:szCs w:val="32"/>
        </w:rPr>
        <w:t>530.26</w:t>
      </w:r>
      <w:r>
        <w:rPr>
          <w:rFonts w:ascii="仿宋" w:eastAsia="仿宋" w:hAnsi="仿宋" w:hint="eastAsia"/>
          <w:sz w:val="32"/>
          <w:szCs w:val="32"/>
        </w:rPr>
        <w:t>万元，未执行到位金额</w:t>
      </w:r>
      <w:r w:rsidR="006B11E7">
        <w:rPr>
          <w:rFonts w:ascii="仿宋" w:eastAsia="仿宋" w:hAnsi="仿宋" w:hint="eastAsia"/>
          <w:sz w:val="32"/>
          <w:szCs w:val="32"/>
        </w:rPr>
        <w:t>156</w:t>
      </w:r>
      <w:r w:rsidR="00981217">
        <w:rPr>
          <w:rFonts w:ascii="仿宋" w:eastAsia="仿宋" w:hAnsi="仿宋" w:hint="eastAsia"/>
          <w:sz w:val="32"/>
          <w:szCs w:val="32"/>
        </w:rPr>
        <w:t>8.93</w:t>
      </w:r>
      <w:r>
        <w:rPr>
          <w:rFonts w:ascii="仿宋" w:eastAsia="仿宋" w:hAnsi="仿宋" w:hint="eastAsia"/>
          <w:sz w:val="32"/>
          <w:szCs w:val="32"/>
        </w:rPr>
        <w:t>万元，实际执行到位率（实际执行到位金额/首次执行案件申请执行标的金额）为</w:t>
      </w:r>
      <w:r w:rsidR="00981217">
        <w:rPr>
          <w:rFonts w:ascii="仿宋" w:eastAsia="仿宋" w:hAnsi="仿宋" w:hint="eastAsia"/>
          <w:sz w:val="32"/>
          <w:szCs w:val="32"/>
        </w:rPr>
        <w:t>33.80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123E46" w:rsidRDefault="0098121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实际执行到位金额530.26万元中，执行完毕案件结案金额369.78万元，终本案件已执行到位金额0.32万元，其他方式结案案件结案金额160.17万元。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，两级法院首次执行案件结案平均用时</w:t>
      </w:r>
      <w:r w:rsidR="00981217">
        <w:rPr>
          <w:rFonts w:ascii="仿宋" w:eastAsia="仿宋" w:hAnsi="仿宋" w:hint="eastAsia"/>
          <w:sz w:val="32"/>
          <w:szCs w:val="32"/>
        </w:rPr>
        <w:t>52.68</w:t>
      </w:r>
      <w:r>
        <w:rPr>
          <w:rFonts w:ascii="仿宋" w:eastAsia="仿宋" w:hAnsi="仿宋" w:hint="eastAsia"/>
          <w:sz w:val="32"/>
          <w:szCs w:val="32"/>
        </w:rPr>
        <w:t>天，法定期限内结案率（法定期限内结案数/首次执行案件结案数）100%。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（三）执行综合管理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>
        <w:rPr>
          <w:rFonts w:ascii="仿宋" w:eastAsia="仿宋" w:hAnsi="仿宋" w:hint="eastAsia"/>
          <w:sz w:val="32"/>
          <w:szCs w:val="32"/>
        </w:rPr>
        <w:t>，最高人民法院向两级法院发起各类执行督办</w:t>
      </w:r>
      <w:r w:rsidR="00393D0B">
        <w:rPr>
          <w:rFonts w:ascii="仿宋" w:eastAsia="仿宋" w:hAnsi="仿宋" w:hint="eastAsia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件（包括重点案件督办、舆情督办、信访督办等），办结</w:t>
      </w:r>
      <w:r w:rsidR="00393D0B">
        <w:rPr>
          <w:rFonts w:ascii="仿宋" w:eastAsia="仿宋" w:hAnsi="仿宋" w:hint="eastAsia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件，办结率100%，平均办理用时</w:t>
      </w:r>
      <w:r w:rsidR="00393D0B">
        <w:rPr>
          <w:rFonts w:ascii="仿宋" w:eastAsia="仿宋" w:hAnsi="仿宋" w:hint="eastAsia"/>
          <w:sz w:val="32"/>
          <w:szCs w:val="32"/>
        </w:rPr>
        <w:t>7.92</w:t>
      </w:r>
      <w:r>
        <w:rPr>
          <w:rFonts w:ascii="仿宋" w:eastAsia="仿宋" w:hAnsi="仿宋" w:hint="eastAsia"/>
          <w:sz w:val="32"/>
          <w:szCs w:val="32"/>
        </w:rPr>
        <w:t>天。</w:t>
      </w:r>
    </w:p>
    <w:p w:rsidR="000F320C" w:rsidRDefault="000F320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F320C" w:rsidRDefault="000F320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九、</w:t>
      </w:r>
      <w:r w:rsidR="007354D9">
        <w:rPr>
          <w:rFonts w:ascii="仿宋" w:eastAsia="仿宋" w:hAnsi="仿宋" w:hint="eastAsia"/>
          <w:b/>
          <w:sz w:val="32"/>
          <w:szCs w:val="32"/>
        </w:rPr>
        <w:t>数据</w:t>
      </w:r>
      <w:r>
        <w:rPr>
          <w:rFonts w:ascii="仿宋" w:eastAsia="仿宋" w:hAnsi="仿宋" w:hint="eastAsia"/>
          <w:b/>
          <w:sz w:val="32"/>
          <w:szCs w:val="32"/>
        </w:rPr>
        <w:t>分析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（一）收结</w:t>
      </w:r>
      <w:r w:rsidR="00A87D38">
        <w:rPr>
          <w:rFonts w:ascii="仿宋" w:eastAsia="仿宋" w:hAnsi="仿宋" w:hint="eastAsia"/>
          <w:b/>
          <w:sz w:val="32"/>
          <w:szCs w:val="32"/>
        </w:rPr>
        <w:t>存</w:t>
      </w:r>
      <w:r>
        <w:rPr>
          <w:rFonts w:ascii="仿宋" w:eastAsia="仿宋" w:hAnsi="仿宋" w:hint="eastAsia"/>
          <w:b/>
          <w:sz w:val="32"/>
          <w:szCs w:val="32"/>
        </w:rPr>
        <w:t>案</w:t>
      </w:r>
      <w:r w:rsidR="00A87D38">
        <w:rPr>
          <w:rFonts w:ascii="仿宋" w:eastAsia="仿宋" w:hAnsi="仿宋" w:hint="eastAsia"/>
          <w:b/>
          <w:sz w:val="32"/>
          <w:szCs w:val="32"/>
        </w:rPr>
        <w:t>件</w:t>
      </w:r>
      <w:r w:rsidR="00A63C03">
        <w:rPr>
          <w:rFonts w:ascii="仿宋" w:eastAsia="仿宋" w:hAnsi="仿宋" w:hint="eastAsia"/>
          <w:b/>
          <w:sz w:val="32"/>
          <w:szCs w:val="32"/>
        </w:rPr>
        <w:t>均呈下降趋势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0333E6">
        <w:rPr>
          <w:rFonts w:ascii="仿宋" w:eastAsia="仿宋" w:hAnsi="仿宋" w:hint="eastAsia"/>
          <w:sz w:val="32"/>
          <w:szCs w:val="32"/>
        </w:rPr>
        <w:t>与2017</w:t>
      </w:r>
      <w:r w:rsidR="00561F30">
        <w:rPr>
          <w:rFonts w:ascii="仿宋" w:eastAsia="仿宋" w:hAnsi="仿宋" w:hint="eastAsia"/>
          <w:sz w:val="32"/>
          <w:szCs w:val="32"/>
        </w:rPr>
        <w:t>年</w:t>
      </w:r>
      <w:r w:rsidR="000333E6">
        <w:rPr>
          <w:rFonts w:ascii="仿宋" w:eastAsia="仿宋" w:hAnsi="仿宋" w:hint="eastAsia"/>
          <w:sz w:val="32"/>
          <w:szCs w:val="32"/>
        </w:rPr>
        <w:t>同期相比，</w:t>
      </w:r>
      <w:r>
        <w:rPr>
          <w:rFonts w:ascii="仿宋" w:eastAsia="仿宋" w:hAnsi="仿宋" w:hint="eastAsia"/>
          <w:sz w:val="32"/>
          <w:szCs w:val="32"/>
        </w:rPr>
        <w:t>长春林区两级法院各类案件旧存案件数、新收案件数、已结案件数、未结案件数均呈下降趋势，旧存、新收、已结案件分别下降3</w:t>
      </w:r>
      <w:r w:rsidR="00D96A16">
        <w:rPr>
          <w:rFonts w:ascii="仿宋" w:eastAsia="仿宋" w:hAnsi="仿宋" w:hint="eastAsia"/>
          <w:sz w:val="32"/>
          <w:szCs w:val="32"/>
        </w:rPr>
        <w:t>2.47</w:t>
      </w:r>
      <w:r>
        <w:rPr>
          <w:rFonts w:ascii="仿宋" w:eastAsia="仿宋" w:hAnsi="仿宋" w:hint="eastAsia"/>
          <w:sz w:val="32"/>
          <w:szCs w:val="32"/>
        </w:rPr>
        <w:t>%、</w:t>
      </w:r>
      <w:r w:rsidR="00D96A16">
        <w:rPr>
          <w:rFonts w:ascii="仿宋" w:eastAsia="仿宋" w:hAnsi="仿宋" w:hint="eastAsia"/>
          <w:sz w:val="32"/>
          <w:szCs w:val="32"/>
        </w:rPr>
        <w:t>21.60</w:t>
      </w:r>
      <w:r>
        <w:rPr>
          <w:rFonts w:ascii="仿宋" w:eastAsia="仿宋" w:hAnsi="仿宋" w:hint="eastAsia"/>
          <w:sz w:val="32"/>
          <w:szCs w:val="32"/>
        </w:rPr>
        <w:t>%、</w:t>
      </w:r>
      <w:r w:rsidR="00D96A16">
        <w:rPr>
          <w:rFonts w:ascii="仿宋" w:eastAsia="仿宋" w:hAnsi="仿宋" w:hint="eastAsia"/>
          <w:sz w:val="32"/>
          <w:szCs w:val="32"/>
        </w:rPr>
        <w:t>23.53</w:t>
      </w:r>
      <w:r>
        <w:rPr>
          <w:rFonts w:ascii="仿宋" w:eastAsia="仿宋" w:hAnsi="仿宋" w:hint="eastAsia"/>
          <w:sz w:val="32"/>
          <w:szCs w:val="32"/>
        </w:rPr>
        <w:t>%，</w:t>
      </w:r>
      <w:r w:rsidR="00D96A16">
        <w:rPr>
          <w:rFonts w:ascii="仿宋" w:eastAsia="仿宋" w:hAnsi="仿宋" w:hint="eastAsia"/>
          <w:sz w:val="32"/>
          <w:szCs w:val="32"/>
        </w:rPr>
        <w:t>审判类案件旧存、新收、已结</w:t>
      </w:r>
      <w:r>
        <w:rPr>
          <w:rFonts w:ascii="仿宋" w:eastAsia="仿宋" w:hAnsi="仿宋" w:hint="eastAsia"/>
          <w:sz w:val="32"/>
          <w:szCs w:val="32"/>
        </w:rPr>
        <w:t>案件分别下降</w:t>
      </w:r>
      <w:r w:rsidR="00D96A16">
        <w:rPr>
          <w:rFonts w:ascii="仿宋" w:eastAsia="仿宋" w:hAnsi="仿宋" w:hint="eastAsia"/>
          <w:sz w:val="32"/>
          <w:szCs w:val="32"/>
        </w:rPr>
        <w:t>39.66</w:t>
      </w:r>
      <w:r>
        <w:rPr>
          <w:rFonts w:ascii="仿宋" w:eastAsia="仿宋" w:hAnsi="仿宋" w:hint="eastAsia"/>
          <w:sz w:val="32"/>
          <w:szCs w:val="32"/>
        </w:rPr>
        <w:t>%、</w:t>
      </w:r>
      <w:r w:rsidR="00D96A16">
        <w:rPr>
          <w:rFonts w:ascii="仿宋" w:eastAsia="仿宋" w:hAnsi="仿宋" w:hint="eastAsia"/>
          <w:sz w:val="32"/>
          <w:szCs w:val="32"/>
        </w:rPr>
        <w:t>20.28</w:t>
      </w:r>
      <w:r>
        <w:rPr>
          <w:rFonts w:ascii="仿宋" w:eastAsia="仿宋" w:hAnsi="仿宋" w:hint="eastAsia"/>
          <w:sz w:val="32"/>
          <w:szCs w:val="32"/>
        </w:rPr>
        <w:t>%、</w:t>
      </w:r>
      <w:r w:rsidR="00D96A16">
        <w:rPr>
          <w:rFonts w:ascii="仿宋" w:eastAsia="仿宋" w:hAnsi="仿宋" w:hint="eastAsia"/>
          <w:sz w:val="32"/>
          <w:szCs w:val="32"/>
        </w:rPr>
        <w:t>24.64</w:t>
      </w:r>
      <w:r>
        <w:rPr>
          <w:rFonts w:ascii="仿宋" w:eastAsia="仿宋" w:hAnsi="仿宋" w:hint="eastAsia"/>
          <w:sz w:val="32"/>
          <w:szCs w:val="32"/>
        </w:rPr>
        <w:t>%</w:t>
      </w:r>
      <w:r w:rsidR="00D96A16">
        <w:rPr>
          <w:rFonts w:ascii="仿宋" w:eastAsia="仿宋" w:hAnsi="仿宋" w:hint="eastAsia"/>
          <w:sz w:val="32"/>
          <w:szCs w:val="32"/>
        </w:rPr>
        <w:t>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（二）新收</w:t>
      </w:r>
      <w:r w:rsidR="007768DF">
        <w:rPr>
          <w:rFonts w:ascii="仿宋" w:eastAsia="仿宋" w:hAnsi="仿宋" w:hint="eastAsia"/>
          <w:b/>
          <w:sz w:val="32"/>
          <w:szCs w:val="32"/>
        </w:rPr>
        <w:t>一审案件</w:t>
      </w:r>
      <w:r w:rsidR="00BD49CA">
        <w:rPr>
          <w:rFonts w:ascii="仿宋" w:eastAsia="仿宋" w:hAnsi="仿宋" w:hint="eastAsia"/>
          <w:b/>
          <w:sz w:val="32"/>
          <w:szCs w:val="32"/>
        </w:rPr>
        <w:t>量</w:t>
      </w:r>
      <w:r w:rsidR="007768DF">
        <w:rPr>
          <w:rFonts w:ascii="仿宋" w:eastAsia="仿宋" w:hAnsi="仿宋" w:hint="eastAsia"/>
          <w:b/>
          <w:sz w:val="32"/>
          <w:szCs w:val="32"/>
        </w:rPr>
        <w:t>下降，新收二审案件</w:t>
      </w:r>
      <w:r w:rsidR="00BD49CA">
        <w:rPr>
          <w:rFonts w:ascii="仿宋" w:eastAsia="仿宋" w:hAnsi="仿宋" w:hint="eastAsia"/>
          <w:b/>
          <w:sz w:val="32"/>
          <w:szCs w:val="32"/>
        </w:rPr>
        <w:t>量</w:t>
      </w:r>
      <w:r w:rsidR="007768DF">
        <w:rPr>
          <w:rFonts w:ascii="仿宋" w:eastAsia="仿宋" w:hAnsi="仿宋" w:hint="eastAsia"/>
          <w:b/>
          <w:sz w:val="32"/>
          <w:szCs w:val="32"/>
        </w:rPr>
        <w:t>上升</w:t>
      </w:r>
    </w:p>
    <w:p w:rsidR="00123E46" w:rsidRDefault="003635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765379">
        <w:rPr>
          <w:rFonts w:ascii="仿宋" w:eastAsia="仿宋" w:hAnsi="仿宋" w:hint="eastAsia"/>
          <w:sz w:val="32"/>
          <w:szCs w:val="32"/>
        </w:rPr>
        <w:t>与2017年同期相比</w:t>
      </w:r>
      <w:r w:rsidR="00FE5BD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新收一审案件下降</w:t>
      </w:r>
      <w:r w:rsidR="005358E7">
        <w:rPr>
          <w:rFonts w:ascii="仿宋" w:eastAsia="仿宋" w:hAnsi="仿宋" w:hint="eastAsia"/>
          <w:sz w:val="32"/>
          <w:szCs w:val="32"/>
        </w:rPr>
        <w:t>4.58</w:t>
      </w:r>
      <w:r>
        <w:rPr>
          <w:rFonts w:ascii="仿宋" w:eastAsia="仿宋" w:hAnsi="仿宋" w:hint="eastAsia"/>
          <w:sz w:val="32"/>
          <w:szCs w:val="32"/>
        </w:rPr>
        <w:t>%，新收二审案件上升</w:t>
      </w:r>
      <w:r w:rsidR="005358E7">
        <w:rPr>
          <w:rFonts w:ascii="仿宋" w:eastAsia="仿宋" w:hAnsi="仿宋" w:hint="eastAsia"/>
          <w:sz w:val="32"/>
          <w:szCs w:val="32"/>
        </w:rPr>
        <w:t>15.09</w:t>
      </w:r>
      <w:r>
        <w:rPr>
          <w:rFonts w:ascii="仿宋" w:eastAsia="仿宋" w:hAnsi="仿宋" w:hint="eastAsia"/>
          <w:sz w:val="32"/>
          <w:szCs w:val="32"/>
        </w:rPr>
        <w:t>%。</w:t>
      </w:r>
      <w:r w:rsidR="00136CD1">
        <w:rPr>
          <w:rFonts w:ascii="仿宋" w:eastAsia="仿宋" w:hAnsi="仿宋" w:hint="eastAsia"/>
          <w:sz w:val="32"/>
          <w:szCs w:val="32"/>
        </w:rPr>
        <w:t>新收一审案件下降主要是由于红石院新收供用热力合同纠纷案件比2017年同期减少155件</w:t>
      </w:r>
      <w:r w:rsidR="00E926DE">
        <w:rPr>
          <w:rFonts w:ascii="仿宋" w:eastAsia="仿宋" w:hAnsi="仿宋" w:hint="eastAsia"/>
          <w:sz w:val="32"/>
          <w:szCs w:val="32"/>
        </w:rPr>
        <w:t>（2017年前三季度红石院新收供用热力合同纠纷案件175件；2018年前三季度</w:t>
      </w:r>
      <w:r w:rsidR="00EE4485">
        <w:rPr>
          <w:rFonts w:ascii="仿宋" w:eastAsia="仿宋" w:hAnsi="仿宋" w:hint="eastAsia"/>
          <w:sz w:val="32"/>
          <w:szCs w:val="32"/>
        </w:rPr>
        <w:t>红石院</w:t>
      </w:r>
      <w:r w:rsidR="00E926DE">
        <w:rPr>
          <w:rFonts w:ascii="仿宋" w:eastAsia="仿宋" w:hAnsi="仿宋" w:hint="eastAsia"/>
          <w:sz w:val="32"/>
          <w:szCs w:val="32"/>
        </w:rPr>
        <w:t>新收供用热力合同纠纷案件20件）</w:t>
      </w:r>
      <w:r w:rsidR="00EE4485">
        <w:rPr>
          <w:rFonts w:ascii="仿宋" w:eastAsia="仿宋" w:hAnsi="仿宋" w:hint="eastAsia"/>
          <w:sz w:val="32"/>
          <w:szCs w:val="32"/>
        </w:rPr>
        <w:t>。</w:t>
      </w:r>
      <w:r w:rsidR="00D53F04">
        <w:rPr>
          <w:rFonts w:ascii="仿宋" w:eastAsia="仿宋" w:hAnsi="仿宋" w:hint="eastAsia"/>
          <w:sz w:val="32"/>
          <w:szCs w:val="32"/>
        </w:rPr>
        <w:t>新收二审案件上升主要</w:t>
      </w:r>
      <w:r w:rsidR="00FC2782">
        <w:rPr>
          <w:rFonts w:ascii="仿宋" w:eastAsia="仿宋" w:hAnsi="仿宋" w:hint="eastAsia"/>
          <w:sz w:val="32"/>
          <w:szCs w:val="32"/>
        </w:rPr>
        <w:t>是</w:t>
      </w:r>
      <w:r w:rsidR="00D53F04">
        <w:rPr>
          <w:rFonts w:ascii="仿宋" w:eastAsia="仿宋" w:hAnsi="仿宋" w:hint="eastAsia"/>
          <w:sz w:val="32"/>
          <w:szCs w:val="32"/>
        </w:rPr>
        <w:t>由于新收</w:t>
      </w:r>
      <w:r w:rsidR="00136CD1">
        <w:rPr>
          <w:rFonts w:ascii="仿宋" w:eastAsia="仿宋" w:hAnsi="仿宋" w:hint="eastAsia"/>
          <w:sz w:val="32"/>
          <w:szCs w:val="32"/>
        </w:rPr>
        <w:t>二审</w:t>
      </w:r>
      <w:r w:rsidR="00D53F04">
        <w:rPr>
          <w:rFonts w:ascii="仿宋" w:eastAsia="仿宋" w:hAnsi="仿宋" w:hint="eastAsia"/>
          <w:sz w:val="32"/>
          <w:szCs w:val="32"/>
        </w:rPr>
        <w:t>行政案件</w:t>
      </w:r>
      <w:r w:rsidR="00E926DE">
        <w:rPr>
          <w:rFonts w:ascii="仿宋" w:eastAsia="仿宋" w:hAnsi="仿宋" w:hint="eastAsia"/>
          <w:sz w:val="32"/>
          <w:szCs w:val="32"/>
        </w:rPr>
        <w:t>比2017年同期增加8件</w:t>
      </w:r>
      <w:r w:rsidR="00D53F04">
        <w:rPr>
          <w:rFonts w:ascii="仿宋" w:eastAsia="仿宋" w:hAnsi="仿宋" w:hint="eastAsia"/>
          <w:sz w:val="32"/>
          <w:szCs w:val="32"/>
        </w:rPr>
        <w:t>（2017年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8252F7">
        <w:rPr>
          <w:rFonts w:ascii="仿宋" w:eastAsia="仿宋" w:hAnsi="仿宋" w:hint="eastAsia"/>
          <w:sz w:val="32"/>
          <w:szCs w:val="32"/>
        </w:rPr>
        <w:t>新收</w:t>
      </w:r>
      <w:r w:rsidR="00D53F04">
        <w:rPr>
          <w:rFonts w:ascii="仿宋" w:eastAsia="仿宋" w:hAnsi="仿宋" w:hint="eastAsia"/>
          <w:sz w:val="32"/>
          <w:szCs w:val="32"/>
        </w:rPr>
        <w:t>行政二审案件</w:t>
      </w:r>
      <w:r w:rsidR="008252F7">
        <w:rPr>
          <w:rFonts w:ascii="仿宋" w:eastAsia="仿宋" w:hAnsi="仿宋" w:hint="eastAsia"/>
          <w:sz w:val="32"/>
          <w:szCs w:val="32"/>
        </w:rPr>
        <w:t>1</w:t>
      </w:r>
      <w:r w:rsidR="00D53F04">
        <w:rPr>
          <w:rFonts w:ascii="仿宋" w:eastAsia="仿宋" w:hAnsi="仿宋" w:hint="eastAsia"/>
          <w:sz w:val="32"/>
          <w:szCs w:val="32"/>
        </w:rPr>
        <w:t>件；2018年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D53F04">
        <w:rPr>
          <w:rFonts w:ascii="仿宋" w:eastAsia="仿宋" w:hAnsi="仿宋" w:hint="eastAsia"/>
          <w:sz w:val="32"/>
          <w:szCs w:val="32"/>
        </w:rPr>
        <w:t>新收行政二审案件</w:t>
      </w:r>
      <w:r w:rsidR="008252F7">
        <w:rPr>
          <w:rFonts w:ascii="仿宋" w:eastAsia="仿宋" w:hAnsi="仿宋" w:hint="eastAsia"/>
          <w:sz w:val="32"/>
          <w:szCs w:val="32"/>
        </w:rPr>
        <w:t>9</w:t>
      </w:r>
      <w:r w:rsidR="001B42FD">
        <w:rPr>
          <w:rFonts w:ascii="仿宋" w:eastAsia="仿宋" w:hAnsi="仿宋" w:hint="eastAsia"/>
          <w:sz w:val="32"/>
          <w:szCs w:val="32"/>
        </w:rPr>
        <w:t>件）。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B814F9">
        <w:rPr>
          <w:rFonts w:ascii="仿宋" w:eastAsia="仿宋" w:hAnsi="仿宋" w:hint="eastAsia"/>
          <w:b/>
          <w:sz w:val="32"/>
          <w:szCs w:val="32"/>
        </w:rPr>
        <w:t>审判类案件</w:t>
      </w:r>
      <w:r w:rsidR="0009571F">
        <w:rPr>
          <w:rFonts w:ascii="仿宋" w:eastAsia="仿宋" w:hAnsi="仿宋" w:hint="eastAsia"/>
          <w:b/>
          <w:sz w:val="32"/>
          <w:szCs w:val="32"/>
        </w:rPr>
        <w:t>结案率与结收比均有所下降</w:t>
      </w:r>
    </w:p>
    <w:p w:rsidR="00123E46" w:rsidRDefault="004A59F4">
      <w:pPr>
        <w:widowControl/>
        <w:spacing w:line="540" w:lineRule="atLeast"/>
        <w:ind w:firstLine="55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2018年前三季度</w:t>
      </w:r>
      <w:r w:rsidR="001B42FD">
        <w:rPr>
          <w:rFonts w:ascii="仿宋" w:eastAsia="仿宋" w:hAnsi="仿宋" w:hint="eastAsia"/>
          <w:sz w:val="32"/>
          <w:szCs w:val="32"/>
        </w:rPr>
        <w:t>两级法院审判类案件结案率为86.10%，</w:t>
      </w:r>
      <w:r>
        <w:rPr>
          <w:rFonts w:ascii="仿宋" w:eastAsia="仿宋" w:hAnsi="仿宋" w:hint="eastAsia"/>
          <w:sz w:val="32"/>
          <w:szCs w:val="32"/>
        </w:rPr>
        <w:t>与2017年同期相比，结案率下降3.18个百分点，</w:t>
      </w:r>
      <w:r w:rsidR="0016164F">
        <w:rPr>
          <w:rFonts w:ascii="仿宋" w:eastAsia="仿宋" w:hAnsi="仿宋" w:hint="eastAsia"/>
          <w:sz w:val="32"/>
          <w:szCs w:val="32"/>
        </w:rPr>
        <w:t>结案率在全省法院排名第二，低于铁路法院4.21个百分点。</w:t>
      </w:r>
      <w:r w:rsidR="001E71DB">
        <w:rPr>
          <w:rFonts w:ascii="仿宋" w:eastAsia="仿宋" w:hAnsi="仿宋" w:hint="eastAsia"/>
          <w:sz w:val="32"/>
          <w:szCs w:val="32"/>
        </w:rPr>
        <w:t>白石山院、抚松院结案率低于两级法院平均结案率。</w:t>
      </w:r>
      <w:r w:rsidR="00363513"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363513">
        <w:rPr>
          <w:rFonts w:ascii="仿宋" w:eastAsia="仿宋" w:hAnsi="仿宋" w:hint="eastAsia"/>
          <w:sz w:val="32"/>
          <w:szCs w:val="32"/>
        </w:rPr>
        <w:t>两级法院</w:t>
      </w:r>
      <w:r w:rsidR="00B156F6">
        <w:rPr>
          <w:rFonts w:ascii="仿宋" w:eastAsia="仿宋" w:hAnsi="仿宋" w:hint="eastAsia"/>
          <w:sz w:val="32"/>
          <w:szCs w:val="32"/>
        </w:rPr>
        <w:t>审判类案件结收比为92.14%，</w:t>
      </w:r>
      <w:r w:rsidR="006D2155">
        <w:rPr>
          <w:rFonts w:ascii="仿宋" w:eastAsia="仿宋" w:hAnsi="仿宋" w:hint="eastAsia"/>
          <w:sz w:val="32"/>
          <w:szCs w:val="32"/>
        </w:rPr>
        <w:t>7</w:t>
      </w:r>
      <w:r w:rsidR="00363513">
        <w:rPr>
          <w:rFonts w:ascii="仿宋" w:eastAsia="仿宋" w:hAnsi="仿宋" w:hint="eastAsia"/>
          <w:sz w:val="32"/>
          <w:szCs w:val="32"/>
        </w:rPr>
        <w:t>月、</w:t>
      </w:r>
      <w:r w:rsidR="006D2155">
        <w:rPr>
          <w:rFonts w:ascii="仿宋" w:eastAsia="仿宋" w:hAnsi="仿宋" w:hint="eastAsia"/>
          <w:sz w:val="32"/>
          <w:szCs w:val="32"/>
        </w:rPr>
        <w:t>8</w:t>
      </w:r>
      <w:r w:rsidR="00363513">
        <w:rPr>
          <w:rFonts w:ascii="仿宋" w:eastAsia="仿宋" w:hAnsi="仿宋" w:hint="eastAsia"/>
          <w:sz w:val="32"/>
          <w:szCs w:val="32"/>
        </w:rPr>
        <w:t>月新收案件数量较多。2月结收比实现均衡，6月</w:t>
      </w:r>
      <w:r w:rsidR="00F870C0">
        <w:rPr>
          <w:rFonts w:ascii="仿宋" w:eastAsia="仿宋" w:hAnsi="仿宋" w:hint="eastAsia"/>
          <w:sz w:val="32"/>
          <w:szCs w:val="32"/>
        </w:rPr>
        <w:t>、9月</w:t>
      </w:r>
      <w:r w:rsidR="00363513">
        <w:rPr>
          <w:rFonts w:ascii="仿宋" w:eastAsia="仿宋" w:hAnsi="仿宋" w:hint="eastAsia"/>
          <w:sz w:val="32"/>
          <w:szCs w:val="32"/>
        </w:rPr>
        <w:t>结收比</w:t>
      </w:r>
      <w:r w:rsidR="00F870C0">
        <w:rPr>
          <w:rFonts w:ascii="仿宋" w:eastAsia="仿宋" w:hAnsi="仿宋" w:hint="eastAsia"/>
          <w:sz w:val="32"/>
          <w:szCs w:val="32"/>
        </w:rPr>
        <w:t>分别为</w:t>
      </w:r>
      <w:r w:rsidR="00363513">
        <w:rPr>
          <w:rFonts w:ascii="仿宋" w:eastAsia="仿宋" w:hAnsi="仿宋" w:hint="eastAsia"/>
          <w:sz w:val="32"/>
          <w:szCs w:val="32"/>
        </w:rPr>
        <w:t>130.95%</w:t>
      </w:r>
      <w:r w:rsidR="00B156F6">
        <w:rPr>
          <w:rFonts w:ascii="仿宋" w:eastAsia="仿宋" w:hAnsi="仿宋" w:hint="eastAsia"/>
          <w:sz w:val="32"/>
          <w:szCs w:val="32"/>
        </w:rPr>
        <w:t>、143.18%</w:t>
      </w:r>
      <w:r w:rsidR="00363513">
        <w:rPr>
          <w:rFonts w:ascii="仿宋" w:eastAsia="仿宋" w:hAnsi="仿宋" w:hint="eastAsia"/>
          <w:sz w:val="32"/>
          <w:szCs w:val="32"/>
        </w:rPr>
        <w:t>，其它月份结收比均低于100%。各院月度</w:t>
      </w:r>
      <w:r w:rsidR="00363513">
        <w:rPr>
          <w:rFonts w:ascii="仿宋" w:eastAsia="仿宋" w:hAnsi="仿宋" w:hint="eastAsia"/>
          <w:sz w:val="32"/>
          <w:szCs w:val="32"/>
        </w:rPr>
        <w:lastRenderedPageBreak/>
        <w:t>结收比均呈现出不均衡的态势，季度末突击结案问题突出，虽有一定的规律性、合理性，但</w:t>
      </w:r>
      <w:r w:rsidR="00442746">
        <w:rPr>
          <w:rFonts w:ascii="仿宋" w:eastAsia="仿宋" w:hAnsi="仿宋" w:hint="eastAsia"/>
          <w:sz w:val="32"/>
          <w:szCs w:val="32"/>
        </w:rPr>
        <w:t>集中结案</w:t>
      </w:r>
      <w:r w:rsidR="00363513">
        <w:rPr>
          <w:rFonts w:ascii="仿宋" w:eastAsia="仿宋" w:hAnsi="仿宋" w:hint="eastAsia"/>
          <w:sz w:val="32"/>
          <w:szCs w:val="32"/>
        </w:rPr>
        <w:t>是否存在案件质量隐患应引起重视。</w:t>
      </w:r>
    </w:p>
    <w:p w:rsidR="00123E46" w:rsidRDefault="00363513">
      <w:pPr>
        <w:widowControl/>
        <w:spacing w:line="540" w:lineRule="atLeast"/>
        <w:ind w:firstLine="552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="007548BE">
        <w:rPr>
          <w:rFonts w:ascii="仿宋" w:eastAsia="仿宋" w:hAnsi="仿宋" w:hint="eastAsia"/>
          <w:b/>
          <w:sz w:val="32"/>
          <w:szCs w:val="32"/>
        </w:rPr>
        <w:t>生效案件再审</w:t>
      </w:r>
      <w:r w:rsidR="00C57F90">
        <w:rPr>
          <w:rFonts w:ascii="仿宋" w:eastAsia="仿宋" w:hAnsi="仿宋" w:hint="eastAsia"/>
          <w:b/>
          <w:sz w:val="32"/>
          <w:szCs w:val="32"/>
        </w:rPr>
        <w:t>被</w:t>
      </w:r>
      <w:r w:rsidR="007548BE">
        <w:rPr>
          <w:rFonts w:ascii="仿宋" w:eastAsia="仿宋" w:hAnsi="仿宋" w:hint="eastAsia"/>
          <w:b/>
          <w:sz w:val="32"/>
          <w:szCs w:val="32"/>
        </w:rPr>
        <w:t>改判、发回</w:t>
      </w:r>
      <w:r w:rsidR="00195A96">
        <w:rPr>
          <w:rFonts w:ascii="仿宋" w:eastAsia="仿宋" w:hAnsi="仿宋" w:hint="eastAsia"/>
          <w:b/>
          <w:sz w:val="32"/>
          <w:szCs w:val="32"/>
        </w:rPr>
        <w:t>重审</w:t>
      </w:r>
      <w:r w:rsidR="002466A3">
        <w:rPr>
          <w:rFonts w:ascii="仿宋" w:eastAsia="仿宋" w:hAnsi="仿宋" w:hint="eastAsia"/>
          <w:b/>
          <w:sz w:val="32"/>
          <w:szCs w:val="32"/>
        </w:rPr>
        <w:t>率与</w:t>
      </w:r>
      <w:r w:rsidR="00372A02">
        <w:rPr>
          <w:rFonts w:ascii="仿宋" w:eastAsia="仿宋" w:hAnsi="仿宋" w:hint="eastAsia"/>
          <w:b/>
          <w:sz w:val="32"/>
          <w:szCs w:val="32"/>
        </w:rPr>
        <w:t>生效案件</w:t>
      </w:r>
      <w:r w:rsidR="00C57F90">
        <w:rPr>
          <w:rFonts w:ascii="仿宋" w:eastAsia="仿宋" w:hAnsi="仿宋" w:hint="eastAsia"/>
          <w:b/>
          <w:sz w:val="32"/>
          <w:szCs w:val="32"/>
        </w:rPr>
        <w:t>申请再审、</w:t>
      </w:r>
      <w:r w:rsidR="00372A02">
        <w:rPr>
          <w:rFonts w:ascii="仿宋" w:eastAsia="仿宋" w:hAnsi="仿宋" w:hint="eastAsia"/>
          <w:b/>
          <w:sz w:val="32"/>
          <w:szCs w:val="32"/>
        </w:rPr>
        <w:t>申诉率</w:t>
      </w:r>
      <w:r w:rsidR="002466A3">
        <w:rPr>
          <w:rFonts w:ascii="仿宋" w:eastAsia="仿宋" w:hAnsi="仿宋" w:hint="eastAsia"/>
          <w:b/>
          <w:sz w:val="32"/>
          <w:szCs w:val="32"/>
        </w:rPr>
        <w:t>均</w:t>
      </w:r>
      <w:r w:rsidR="009340FA">
        <w:rPr>
          <w:rFonts w:ascii="仿宋" w:eastAsia="仿宋" w:hAnsi="仿宋" w:hint="eastAsia"/>
          <w:b/>
          <w:sz w:val="32"/>
          <w:szCs w:val="32"/>
        </w:rPr>
        <w:t>有所上升</w:t>
      </w:r>
    </w:p>
    <w:p w:rsidR="009E38ED" w:rsidRDefault="00363513" w:rsidP="009E38E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604104">
        <w:rPr>
          <w:rFonts w:ascii="仿宋" w:eastAsia="仿宋" w:hAnsi="仿宋" w:hint="eastAsia"/>
          <w:sz w:val="32"/>
          <w:szCs w:val="32"/>
        </w:rPr>
        <w:t>前三季度</w:t>
      </w:r>
      <w:r w:rsidR="009E38ED">
        <w:rPr>
          <w:rFonts w:ascii="仿宋" w:eastAsia="仿宋" w:hAnsi="仿宋" w:hint="eastAsia"/>
          <w:sz w:val="32"/>
          <w:szCs w:val="32"/>
        </w:rPr>
        <w:t>一审服判息诉率为</w:t>
      </w:r>
      <w:r w:rsidR="00040D4B">
        <w:rPr>
          <w:rFonts w:ascii="仿宋" w:eastAsia="仿宋" w:hAnsi="仿宋" w:hint="eastAsia"/>
          <w:sz w:val="32"/>
          <w:szCs w:val="32"/>
        </w:rPr>
        <w:t>87.72</w:t>
      </w:r>
      <w:r w:rsidR="009E38ED">
        <w:rPr>
          <w:rFonts w:ascii="仿宋" w:eastAsia="仿宋" w:hAnsi="仿宋" w:hint="eastAsia"/>
          <w:sz w:val="32"/>
          <w:szCs w:val="32"/>
        </w:rPr>
        <w:t>%，同比</w:t>
      </w:r>
      <w:r w:rsidR="00C57F90">
        <w:rPr>
          <w:rFonts w:ascii="仿宋" w:eastAsia="仿宋" w:hAnsi="仿宋" w:hint="eastAsia"/>
          <w:bCs/>
          <w:sz w:val="32"/>
          <w:szCs w:val="32"/>
        </w:rPr>
        <w:t>下降4.97</w:t>
      </w:r>
      <w:r w:rsidR="009E38ED">
        <w:rPr>
          <w:rFonts w:ascii="仿宋" w:eastAsia="仿宋" w:hAnsi="仿宋" w:hint="eastAsia"/>
          <w:bCs/>
          <w:sz w:val="32"/>
          <w:szCs w:val="32"/>
        </w:rPr>
        <w:t>个</w:t>
      </w:r>
      <w:r w:rsidR="009E38ED" w:rsidRPr="00A36DCD">
        <w:rPr>
          <w:rFonts w:ascii="仿宋" w:eastAsia="仿宋" w:hAnsi="仿宋" w:hint="eastAsia"/>
          <w:bCs/>
          <w:sz w:val="32"/>
          <w:szCs w:val="32"/>
        </w:rPr>
        <w:t>百分点</w:t>
      </w:r>
      <w:r w:rsidR="00904E1D">
        <w:rPr>
          <w:rFonts w:ascii="仿宋" w:eastAsia="仿宋" w:hAnsi="仿宋" w:hint="eastAsia"/>
          <w:sz w:val="32"/>
          <w:szCs w:val="32"/>
        </w:rPr>
        <w:t>（</w:t>
      </w:r>
      <w:r w:rsidR="009E38ED">
        <w:rPr>
          <w:rFonts w:ascii="仿宋" w:eastAsia="仿宋" w:hAnsi="仿宋" w:hint="eastAsia"/>
          <w:sz w:val="32"/>
          <w:szCs w:val="32"/>
        </w:rPr>
        <w:t>省院审判绩效考核设定的基础比率90%</w:t>
      </w:r>
      <w:r w:rsidR="00904E1D">
        <w:rPr>
          <w:rFonts w:ascii="仿宋" w:eastAsia="仿宋" w:hAnsi="仿宋" w:hint="eastAsia"/>
          <w:sz w:val="32"/>
          <w:szCs w:val="32"/>
        </w:rPr>
        <w:t>）</w:t>
      </w:r>
      <w:r w:rsidR="00A936D4">
        <w:rPr>
          <w:rFonts w:ascii="仿宋" w:eastAsia="仿宋" w:hAnsi="仿宋" w:hint="eastAsia"/>
          <w:sz w:val="32"/>
          <w:szCs w:val="32"/>
        </w:rPr>
        <w:t>。</w:t>
      </w:r>
      <w:r w:rsidR="00C57F90">
        <w:rPr>
          <w:rFonts w:ascii="仿宋" w:eastAsia="仿宋" w:hAnsi="仿宋" w:hint="eastAsia"/>
          <w:sz w:val="32"/>
          <w:szCs w:val="32"/>
        </w:rPr>
        <w:t>一审案件上诉被改判、发回重审率为1.75%</w:t>
      </w:r>
      <w:r w:rsidR="005753C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753C7">
        <w:rPr>
          <w:rFonts w:ascii="仿宋" w:eastAsia="仿宋" w:hAnsi="仿宋" w:hint="eastAsia"/>
          <w:sz w:val="32"/>
          <w:szCs w:val="32"/>
        </w:rPr>
        <w:t>省院审判绩效考核基础发改率指标值为3%）</w:t>
      </w:r>
      <w:r w:rsidR="00C57F90">
        <w:rPr>
          <w:rFonts w:ascii="仿宋" w:eastAsia="仿宋" w:hAnsi="仿宋" w:hint="eastAsia"/>
          <w:sz w:val="32"/>
          <w:szCs w:val="32"/>
        </w:rPr>
        <w:t>，</w:t>
      </w:r>
      <w:r w:rsidR="00AA7675">
        <w:rPr>
          <w:rFonts w:ascii="仿宋" w:eastAsia="仿宋" w:hAnsi="仿宋" w:hint="eastAsia"/>
          <w:sz w:val="32"/>
          <w:szCs w:val="32"/>
        </w:rPr>
        <w:t>同比2017年前三季度的1.78%，下降0.03个百分点</w:t>
      </w:r>
      <w:r w:rsidR="00A936D4">
        <w:rPr>
          <w:rFonts w:ascii="仿宋" w:eastAsia="仿宋" w:hAnsi="仿宋" w:hint="eastAsia"/>
          <w:sz w:val="32"/>
          <w:szCs w:val="32"/>
        </w:rPr>
        <w:t>；</w:t>
      </w:r>
      <w:r w:rsidR="00FC50E6">
        <w:rPr>
          <w:rFonts w:ascii="仿宋" w:eastAsia="仿宋" w:hAnsi="仿宋" w:hint="eastAsia"/>
          <w:color w:val="000000" w:themeColor="text1"/>
          <w:sz w:val="32"/>
          <w:szCs w:val="32"/>
        </w:rPr>
        <w:t>生效案件再审被改判、发回重审率为0.45%</w:t>
      </w:r>
      <w:r w:rsidR="002D55C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D55CE">
        <w:rPr>
          <w:rFonts w:ascii="仿宋" w:eastAsia="仿宋" w:hAnsi="仿宋" w:hint="eastAsia"/>
          <w:sz w:val="32"/>
          <w:szCs w:val="32"/>
        </w:rPr>
        <w:t>省院审判绩效考核基础发改率指标值为0.35%）</w:t>
      </w:r>
      <w:r w:rsidR="00FC50E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936D4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同比2017年前三季度的0.17%</w:t>
      </w:r>
      <w:r w:rsidR="00A936D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936D4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上升0.</w:t>
      </w:r>
      <w:r w:rsidR="00A936D4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A936D4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个百分点</w:t>
      </w:r>
      <w:r w:rsidR="00A936D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195A96">
        <w:rPr>
          <w:rFonts w:ascii="仿宋" w:eastAsia="仿宋" w:hAnsi="仿宋" w:hint="eastAsia"/>
          <w:color w:val="000000" w:themeColor="text1"/>
          <w:sz w:val="32"/>
          <w:szCs w:val="32"/>
        </w:rPr>
        <w:t>生效案件申请再审、申诉率为</w:t>
      </w:r>
      <w:r w:rsidR="00FE3D13">
        <w:rPr>
          <w:rFonts w:ascii="仿宋" w:eastAsia="仿宋" w:hAnsi="仿宋" w:hint="eastAsia"/>
          <w:color w:val="000000" w:themeColor="text1"/>
          <w:sz w:val="32"/>
          <w:szCs w:val="32"/>
        </w:rPr>
        <w:t>5.99%</w:t>
      </w:r>
      <w:r w:rsidR="005753C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753C7">
        <w:rPr>
          <w:rFonts w:ascii="仿宋" w:eastAsia="仿宋" w:hAnsi="仿宋" w:hint="eastAsia"/>
          <w:sz w:val="32"/>
          <w:szCs w:val="32"/>
        </w:rPr>
        <w:t>省院审判绩效考核申请再审、申诉率基础比率值为0.35%）</w:t>
      </w:r>
      <w:r w:rsidR="00FE3D1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E3D13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同比2017年前三季度的</w:t>
      </w:r>
      <w:r w:rsidR="00FE3D13">
        <w:rPr>
          <w:rFonts w:ascii="仿宋" w:eastAsia="仿宋" w:hAnsi="仿宋" w:hint="eastAsia"/>
          <w:color w:val="000000" w:themeColor="text1"/>
          <w:sz w:val="32"/>
          <w:szCs w:val="32"/>
        </w:rPr>
        <w:t>4.59</w:t>
      </w:r>
      <w:r w:rsidR="00FE3D13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FE3D1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E3D13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上升</w:t>
      </w:r>
      <w:r w:rsidR="00FE3D13">
        <w:rPr>
          <w:rFonts w:ascii="仿宋" w:eastAsia="仿宋" w:hAnsi="仿宋" w:hint="eastAsia"/>
          <w:color w:val="000000" w:themeColor="text1"/>
          <w:sz w:val="32"/>
          <w:szCs w:val="32"/>
        </w:rPr>
        <w:t>1.4</w:t>
      </w:r>
      <w:r w:rsidR="00FE3D13" w:rsidRPr="004F13E8">
        <w:rPr>
          <w:rFonts w:ascii="仿宋" w:eastAsia="仿宋" w:hAnsi="仿宋" w:hint="eastAsia"/>
          <w:color w:val="000000" w:themeColor="text1"/>
          <w:sz w:val="32"/>
          <w:szCs w:val="32"/>
        </w:rPr>
        <w:t>个百分点</w:t>
      </w:r>
      <w:r w:rsidR="00A804A0">
        <w:rPr>
          <w:rFonts w:ascii="仿宋" w:eastAsia="仿宋" w:hAnsi="仿宋" w:hint="eastAsia"/>
          <w:color w:val="000000" w:themeColor="text1"/>
          <w:sz w:val="32"/>
          <w:szCs w:val="32"/>
        </w:rPr>
        <w:t>，此项指标值</w:t>
      </w:r>
      <w:r w:rsidR="00386BF5">
        <w:rPr>
          <w:rFonts w:ascii="仿宋" w:eastAsia="仿宋" w:hAnsi="仿宋" w:hint="eastAsia"/>
          <w:color w:val="000000" w:themeColor="text1"/>
          <w:sz w:val="32"/>
          <w:szCs w:val="32"/>
        </w:rPr>
        <w:t>目前</w:t>
      </w:r>
      <w:r w:rsidR="00A804A0">
        <w:rPr>
          <w:rFonts w:ascii="仿宋" w:eastAsia="仿宋" w:hAnsi="仿宋" w:hint="eastAsia"/>
          <w:color w:val="000000" w:themeColor="text1"/>
          <w:sz w:val="32"/>
          <w:szCs w:val="32"/>
        </w:rPr>
        <w:t>全省最高</w:t>
      </w:r>
      <w:r w:rsidR="009E38ED">
        <w:rPr>
          <w:rFonts w:ascii="仿宋" w:eastAsia="仿宋" w:hAnsi="仿宋" w:hint="eastAsia"/>
          <w:sz w:val="32"/>
          <w:szCs w:val="32"/>
        </w:rPr>
        <w:t>。从申诉案件的具体情况来看，有7件案件是与红石院的长期未结案件有关，向省院申诉的8件案件已结6件，结案方式都是驳回申诉，一方面说明原审认定事实清楚，适用法律正确；另一方面也说明有些案件的息诉服判效果不理想，当事人对法院以及法官的裁判结果不信服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十、下一步工作建议</w:t>
      </w:r>
    </w:p>
    <w:p w:rsidR="00123E46" w:rsidRDefault="00F632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下一步，两级法院应紧紧围绕执法办案第一要务，深入贯彻落实</w:t>
      </w:r>
      <w:r w:rsidR="005B5B7A">
        <w:rPr>
          <w:rFonts w:ascii="仿宋" w:eastAsia="仿宋" w:hAnsi="仿宋" w:hint="eastAsia"/>
          <w:sz w:val="32"/>
          <w:szCs w:val="32"/>
        </w:rPr>
        <w:t>长春林区法院</w:t>
      </w:r>
      <w:r>
        <w:rPr>
          <w:rFonts w:ascii="仿宋" w:eastAsia="仿宋" w:hAnsi="仿宋" w:hint="eastAsia"/>
          <w:sz w:val="32"/>
          <w:szCs w:val="32"/>
        </w:rPr>
        <w:t>2018年上半年工作</w:t>
      </w:r>
      <w:r w:rsidR="005B5B7A">
        <w:rPr>
          <w:rFonts w:ascii="仿宋" w:eastAsia="仿宋" w:hAnsi="仿宋" w:hint="eastAsia"/>
          <w:sz w:val="32"/>
          <w:szCs w:val="32"/>
        </w:rPr>
        <w:t>总结</w:t>
      </w:r>
      <w:r>
        <w:rPr>
          <w:rFonts w:ascii="仿宋" w:eastAsia="仿宋" w:hAnsi="仿宋" w:hint="eastAsia"/>
          <w:sz w:val="32"/>
          <w:szCs w:val="32"/>
        </w:rPr>
        <w:t>会议精神，</w:t>
      </w:r>
      <w:r w:rsidR="005B5B7A">
        <w:rPr>
          <w:rFonts w:ascii="仿宋" w:eastAsia="仿宋" w:hAnsi="仿宋" w:hint="eastAsia"/>
          <w:sz w:val="32"/>
          <w:szCs w:val="32"/>
        </w:rPr>
        <w:t>进一步</w:t>
      </w:r>
      <w:r w:rsidR="00363513">
        <w:rPr>
          <w:rFonts w:ascii="仿宋" w:eastAsia="仿宋" w:hAnsi="仿宋" w:hint="eastAsia"/>
          <w:sz w:val="32"/>
          <w:szCs w:val="32"/>
        </w:rPr>
        <w:t>提升执法办案工作的质量和效率，</w:t>
      </w:r>
      <w:r w:rsidR="00FB4923">
        <w:rPr>
          <w:rFonts w:ascii="仿宋" w:eastAsia="仿宋" w:hAnsi="仿宋" w:hint="eastAsia"/>
          <w:sz w:val="32"/>
          <w:szCs w:val="32"/>
        </w:rPr>
        <w:t>确保优质高效完成</w:t>
      </w:r>
      <w:r w:rsidR="00FB4923">
        <w:rPr>
          <w:rFonts w:ascii="仿宋" w:eastAsia="仿宋" w:hAnsi="仿宋" w:hint="eastAsia"/>
          <w:sz w:val="32"/>
          <w:szCs w:val="32"/>
        </w:rPr>
        <w:lastRenderedPageBreak/>
        <w:t>各项执法办案任务。</w:t>
      </w:r>
    </w:p>
    <w:p w:rsidR="00123E46" w:rsidRDefault="00363513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401FDC">
        <w:rPr>
          <w:rFonts w:ascii="仿宋" w:eastAsia="仿宋" w:hAnsi="仿宋" w:hint="eastAsia"/>
          <w:b/>
          <w:sz w:val="32"/>
          <w:szCs w:val="32"/>
        </w:rPr>
        <w:t>进一步提</w:t>
      </w:r>
      <w:r w:rsidR="002A7B68">
        <w:rPr>
          <w:rFonts w:ascii="仿宋" w:eastAsia="仿宋" w:hAnsi="仿宋" w:hint="eastAsia"/>
          <w:b/>
          <w:sz w:val="32"/>
          <w:szCs w:val="32"/>
        </w:rPr>
        <w:t>高</w:t>
      </w:r>
      <w:r w:rsidR="00401FDC">
        <w:rPr>
          <w:rFonts w:ascii="仿宋" w:eastAsia="仿宋" w:hAnsi="仿宋" w:hint="eastAsia"/>
          <w:b/>
          <w:sz w:val="32"/>
          <w:szCs w:val="32"/>
        </w:rPr>
        <w:t>执法办案</w:t>
      </w:r>
      <w:r w:rsidR="00ED77C9">
        <w:rPr>
          <w:rFonts w:ascii="仿宋" w:eastAsia="仿宋" w:hAnsi="仿宋" w:hint="eastAsia"/>
          <w:b/>
          <w:sz w:val="32"/>
          <w:szCs w:val="32"/>
        </w:rPr>
        <w:t>能力和</w:t>
      </w:r>
      <w:r w:rsidR="00401FDC">
        <w:rPr>
          <w:rFonts w:ascii="仿宋" w:eastAsia="仿宋" w:hAnsi="仿宋" w:hint="eastAsia"/>
          <w:b/>
          <w:sz w:val="32"/>
          <w:szCs w:val="32"/>
        </w:rPr>
        <w:t>效率</w:t>
      </w:r>
    </w:p>
    <w:p w:rsidR="00123E46" w:rsidRDefault="00ED77C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法官的执法办案能力直接关系到法院审判职能作用的发挥，全体审判人员要</w:t>
      </w:r>
      <w:r w:rsidR="000E713C">
        <w:rPr>
          <w:rFonts w:ascii="仿宋" w:eastAsia="仿宋" w:hAnsi="仿宋" w:hint="eastAsia"/>
          <w:sz w:val="32"/>
          <w:szCs w:val="32"/>
        </w:rPr>
        <w:t>持续</w:t>
      </w:r>
      <w:r>
        <w:rPr>
          <w:rFonts w:ascii="仿宋" w:eastAsia="仿宋" w:hAnsi="仿宋" w:hint="eastAsia"/>
          <w:sz w:val="32"/>
          <w:szCs w:val="32"/>
        </w:rPr>
        <w:t>加强业务学习，</w:t>
      </w:r>
      <w:r w:rsidR="000E713C">
        <w:rPr>
          <w:rFonts w:ascii="仿宋" w:eastAsia="仿宋" w:hAnsi="仿宋" w:hint="eastAsia"/>
          <w:sz w:val="32"/>
          <w:szCs w:val="32"/>
        </w:rPr>
        <w:t>紧密联系审判实务，研习法律规则，及时掌握上级法院的业务指导意见，达到理论学习与办案实践互相促进的效果，要在审判权运行机制改革的背景下，加强对相关法律规定的了解，规范审判权行使，把握好裁判尺度，防止</w:t>
      </w:r>
      <w:r w:rsidR="0063425E">
        <w:rPr>
          <w:rFonts w:ascii="仿宋" w:eastAsia="仿宋" w:hAnsi="仿宋" w:hint="eastAsia"/>
          <w:sz w:val="32"/>
          <w:szCs w:val="32"/>
        </w:rPr>
        <w:t>同案异判现象</w:t>
      </w:r>
      <w:r w:rsidR="000E713C">
        <w:rPr>
          <w:rFonts w:ascii="仿宋" w:eastAsia="仿宋" w:hAnsi="仿宋" w:hint="eastAsia"/>
          <w:sz w:val="32"/>
          <w:szCs w:val="32"/>
        </w:rPr>
        <w:t>的发生。</w:t>
      </w:r>
      <w:r w:rsidR="00DB5D0C">
        <w:rPr>
          <w:rFonts w:ascii="仿宋" w:eastAsia="仿宋" w:hAnsi="仿宋" w:hint="eastAsia"/>
          <w:sz w:val="32"/>
          <w:szCs w:val="32"/>
        </w:rPr>
        <w:t>此外，</w:t>
      </w:r>
      <w:r w:rsidR="006221EC">
        <w:rPr>
          <w:rFonts w:ascii="仿宋" w:eastAsia="仿宋" w:hAnsi="仿宋" w:hint="eastAsia"/>
          <w:sz w:val="32"/>
          <w:szCs w:val="32"/>
        </w:rPr>
        <w:t>各院应结合本院实际，在确保案件质量的前提下，加快办案进度，提高审判效率。一是要坚持领导带头，抓好重点案件，重点环节，带头多办案，快办案，办好案，发挥好院庭长示范带头作用，</w:t>
      </w:r>
      <w:r w:rsidR="00B047CC">
        <w:rPr>
          <w:rFonts w:ascii="仿宋" w:eastAsia="仿宋" w:hAnsi="仿宋" w:hint="eastAsia"/>
          <w:sz w:val="32"/>
          <w:szCs w:val="32"/>
        </w:rPr>
        <w:t>二是要强化月度均衡结案，避免年末突击结案造成案件质量隐患。既要保证</w:t>
      </w:r>
      <w:r w:rsidR="007E6CE1">
        <w:rPr>
          <w:rFonts w:ascii="仿宋" w:eastAsia="仿宋" w:hAnsi="仿宋" w:hint="eastAsia"/>
          <w:sz w:val="32"/>
          <w:szCs w:val="32"/>
        </w:rPr>
        <w:t>年终</w:t>
      </w:r>
      <w:r w:rsidR="00B047CC">
        <w:rPr>
          <w:rFonts w:ascii="仿宋" w:eastAsia="仿宋" w:hAnsi="仿宋" w:hint="eastAsia"/>
          <w:sz w:val="32"/>
          <w:szCs w:val="32"/>
        </w:rPr>
        <w:t>结案率</w:t>
      </w:r>
      <w:r w:rsidR="004140A5">
        <w:rPr>
          <w:rFonts w:ascii="仿宋" w:eastAsia="仿宋" w:hAnsi="仿宋" w:hint="eastAsia"/>
          <w:sz w:val="32"/>
          <w:szCs w:val="32"/>
        </w:rPr>
        <w:t>有所提升</w:t>
      </w:r>
      <w:r w:rsidR="00B047CC">
        <w:rPr>
          <w:rFonts w:ascii="仿宋" w:eastAsia="仿宋" w:hAnsi="仿宋" w:hint="eastAsia"/>
          <w:sz w:val="32"/>
          <w:szCs w:val="32"/>
        </w:rPr>
        <w:t>，又要</w:t>
      </w:r>
      <w:r w:rsidR="007E6CE1">
        <w:rPr>
          <w:rFonts w:ascii="仿宋" w:eastAsia="仿宋" w:hAnsi="仿宋" w:hint="eastAsia"/>
          <w:sz w:val="32"/>
          <w:szCs w:val="32"/>
        </w:rPr>
        <w:t>做到</w:t>
      </w:r>
      <w:r w:rsidR="00B047CC">
        <w:rPr>
          <w:rFonts w:ascii="仿宋" w:eastAsia="仿宋" w:hAnsi="仿宋" w:hint="eastAsia"/>
          <w:sz w:val="32"/>
          <w:szCs w:val="32"/>
        </w:rPr>
        <w:t>有案必立，</w:t>
      </w:r>
      <w:r w:rsidR="00504A5A">
        <w:rPr>
          <w:rFonts w:ascii="仿宋" w:eastAsia="仿宋" w:hAnsi="仿宋" w:hint="eastAsia"/>
          <w:sz w:val="32"/>
          <w:szCs w:val="32"/>
        </w:rPr>
        <w:t>避免年末有案不立的现象发生</w:t>
      </w:r>
      <w:r w:rsidR="005676DB">
        <w:rPr>
          <w:rFonts w:ascii="仿宋" w:eastAsia="仿宋" w:hAnsi="仿宋" w:hint="eastAsia"/>
          <w:sz w:val="32"/>
          <w:szCs w:val="32"/>
        </w:rPr>
        <w:t>；三是要持续加大执行案件执结力度，坚决如期打赢“基本解决执行难”这场硬仗</w:t>
      </w:r>
      <w:r w:rsidR="00504A5A">
        <w:rPr>
          <w:rFonts w:ascii="仿宋" w:eastAsia="仿宋" w:hAnsi="仿宋" w:hint="eastAsia"/>
          <w:sz w:val="32"/>
          <w:szCs w:val="32"/>
        </w:rPr>
        <w:t>。</w:t>
      </w:r>
    </w:p>
    <w:p w:rsidR="00123E46" w:rsidRDefault="003635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1A126C">
        <w:rPr>
          <w:rFonts w:ascii="仿宋" w:eastAsia="仿宋" w:hAnsi="仿宋" w:hint="eastAsia"/>
          <w:b/>
          <w:sz w:val="32"/>
          <w:szCs w:val="32"/>
        </w:rPr>
        <w:t>进一步提高案件裁判质量</w:t>
      </w:r>
    </w:p>
    <w:p w:rsidR="00123E46" w:rsidRDefault="00436E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一是要严格执行案件质量监督管理的相关制度，严格把控案件流程管理，避免超审限、不规范延期审理等问题；二是对于发回和改判的案件应当认真研究，及时总结二审发改的理由</w:t>
      </w:r>
      <w:r w:rsidR="00635021">
        <w:rPr>
          <w:rFonts w:ascii="仿宋" w:eastAsia="仿宋" w:hAnsi="仿宋" w:hint="eastAsia"/>
          <w:sz w:val="32"/>
          <w:szCs w:val="32"/>
        </w:rPr>
        <w:t>；三是避免裁判文书出现低级错误，加强裁判文书写作质量</w:t>
      </w:r>
      <w:r w:rsidR="007C3C47">
        <w:rPr>
          <w:rFonts w:ascii="仿宋" w:eastAsia="仿宋" w:hAnsi="仿宋" w:hint="eastAsia"/>
          <w:sz w:val="32"/>
          <w:szCs w:val="32"/>
        </w:rPr>
        <w:t>；四是案件裁判要坚持法律效果与社会效果的统一，全体法官应进一步做好释法明理、判后答疑工作，适度向当</w:t>
      </w:r>
      <w:r w:rsidR="007C3C47">
        <w:rPr>
          <w:rFonts w:ascii="仿宋" w:eastAsia="仿宋" w:hAnsi="仿宋" w:hint="eastAsia"/>
          <w:sz w:val="32"/>
          <w:szCs w:val="32"/>
        </w:rPr>
        <w:lastRenderedPageBreak/>
        <w:t>事人解释案件程序规则、证据认定和法律适用，以期达到良好的息诉服判效果。</w:t>
      </w:r>
    </w:p>
    <w:p w:rsidR="00123E46" w:rsidRPr="00E657FA" w:rsidRDefault="000652F5" w:rsidP="00E657F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657FA">
        <w:rPr>
          <w:rFonts w:ascii="仿宋" w:eastAsia="仿宋" w:hAnsi="仿宋" w:hint="eastAsia"/>
          <w:b/>
          <w:sz w:val="32"/>
          <w:szCs w:val="32"/>
        </w:rPr>
        <w:t>（三）进一步强化审判管理</w:t>
      </w:r>
    </w:p>
    <w:p w:rsidR="000652F5" w:rsidRPr="000652F5" w:rsidRDefault="000652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各院应进一步提升审判管理的法制化、精细化、信息化水平，以审判管理“规范、保障、促进、服务”审判执行工作</w:t>
      </w:r>
      <w:r w:rsidR="0072730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依托人民法院大数据服务与管理平台，实时掌握审判执行工作态势，加强分析研判，</w:t>
      </w:r>
      <w:r w:rsidR="00DE5381">
        <w:rPr>
          <w:rFonts w:ascii="仿宋" w:eastAsia="仿宋" w:hAnsi="仿宋" w:hint="eastAsia"/>
          <w:sz w:val="32"/>
          <w:szCs w:val="32"/>
        </w:rPr>
        <w:t>努力解决态势分析中反映出的实际问题</w:t>
      </w:r>
      <w:r w:rsidR="00E73587">
        <w:rPr>
          <w:rFonts w:ascii="仿宋" w:eastAsia="仿宋" w:hAnsi="仿宋" w:hint="eastAsia"/>
          <w:sz w:val="32"/>
          <w:szCs w:val="32"/>
        </w:rPr>
        <w:t>。</w:t>
      </w:r>
    </w:p>
    <w:p w:rsidR="00BC1FF8" w:rsidRDefault="00BC1FF8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BC1FF8" w:rsidRDefault="00BC1FF8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123E46" w:rsidRDefault="00363513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长春林区中级法院审判管理办公室</w:t>
      </w:r>
    </w:p>
    <w:p w:rsidR="00123E46" w:rsidRDefault="0036351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二○一八年</w:t>
      </w:r>
      <w:r w:rsidR="00921244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月</w:t>
      </w:r>
      <w:r w:rsidR="00921244">
        <w:rPr>
          <w:rFonts w:ascii="仿宋" w:eastAsia="仿宋" w:hAnsi="仿宋" w:hint="eastAsia"/>
          <w:sz w:val="32"/>
          <w:szCs w:val="32"/>
        </w:rPr>
        <w:t>十五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04E02" w:rsidRDefault="00E04E02">
      <w:pPr>
        <w:widowControl/>
        <w:jc w:val="left"/>
        <w:rPr>
          <w:rFonts w:ascii="仿宋" w:eastAsia="仿宋" w:hAnsi="仿宋"/>
          <w:sz w:val="32"/>
          <w:szCs w:val="32"/>
        </w:rPr>
        <w:sectPr w:rsidR="00E04E02" w:rsidSect="005E5F9E">
          <w:footerReference w:type="first" r:id="rId30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bookmarkStart w:id="0" w:name="_GoBack"/>
      <w:bookmarkEnd w:id="0"/>
    </w:p>
    <w:p w:rsidR="003C34C6" w:rsidRPr="003C34C6" w:rsidRDefault="003C34C6" w:rsidP="00DA274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3C34C6" w:rsidRPr="003C34C6" w:rsidSect="003C34C6">
      <w:headerReference w:type="first" r:id="rId3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EF" w:rsidRDefault="00B364EF" w:rsidP="00123E46">
      <w:r>
        <w:separator/>
      </w:r>
    </w:p>
  </w:endnote>
  <w:endnote w:type="continuationSeparator" w:id="1">
    <w:p w:rsidR="00B364EF" w:rsidRDefault="00B364EF" w:rsidP="0012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78"/>
      <w:docPartObj>
        <w:docPartGallery w:val="Page Numbers (Bottom of Page)"/>
        <w:docPartUnique/>
      </w:docPartObj>
    </w:sdtPr>
    <w:sdtContent>
      <w:p w:rsidR="00040D4B" w:rsidRDefault="00556505">
        <w:pPr>
          <w:pStyle w:val="a5"/>
          <w:jc w:val="center"/>
        </w:pPr>
        <w:r w:rsidRPr="00556505">
          <w:fldChar w:fldCharType="begin"/>
        </w:r>
        <w:r w:rsidR="00040D4B">
          <w:instrText xml:space="preserve"> PAGE   \* MERGEFORMAT </w:instrText>
        </w:r>
        <w:r w:rsidRPr="00556505">
          <w:fldChar w:fldCharType="separate"/>
        </w:r>
        <w:r w:rsidR="00E50C61" w:rsidRPr="00E50C61">
          <w:rPr>
            <w:noProof/>
            <w:lang w:val="zh-CN"/>
          </w:rPr>
          <w:t>17</w:t>
        </w:r>
        <w:r>
          <w:rPr>
            <w:noProof/>
            <w:lang w:val="zh-CN"/>
          </w:rPr>
          <w:fldChar w:fldCharType="end"/>
        </w:r>
      </w:p>
    </w:sdtContent>
  </w:sdt>
  <w:p w:rsidR="00040D4B" w:rsidRDefault="00040D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4B" w:rsidRDefault="00556505">
    <w:pPr>
      <w:pStyle w:val="a5"/>
      <w:jc w:val="center"/>
    </w:pPr>
    <w:r w:rsidRPr="00556505">
      <w:fldChar w:fldCharType="begin"/>
    </w:r>
    <w:r w:rsidR="00040D4B">
      <w:instrText xml:space="preserve"> PAGE   \* MERGEFORMAT </w:instrText>
    </w:r>
    <w:r w:rsidRPr="00556505">
      <w:fldChar w:fldCharType="separate"/>
    </w:r>
    <w:r w:rsidR="00E50C61" w:rsidRPr="00E50C6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40D4B" w:rsidRDefault="00040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EF" w:rsidRDefault="00B364EF" w:rsidP="00123E46">
      <w:r>
        <w:separator/>
      </w:r>
    </w:p>
  </w:footnote>
  <w:footnote w:type="continuationSeparator" w:id="1">
    <w:p w:rsidR="00B364EF" w:rsidRDefault="00B364EF" w:rsidP="0012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4B" w:rsidRDefault="00040D4B" w:rsidP="003C34C6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 stroke="f">
      <v:fill color="white"/>
      <v:stroke on="f"/>
      <v:shadow on="t" color="silver" opacity="52429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B54"/>
    <w:rsid w:val="00001ADA"/>
    <w:rsid w:val="00001CC6"/>
    <w:rsid w:val="0000223B"/>
    <w:rsid w:val="00003997"/>
    <w:rsid w:val="00003D00"/>
    <w:rsid w:val="00004C14"/>
    <w:rsid w:val="00007C9D"/>
    <w:rsid w:val="00013CE7"/>
    <w:rsid w:val="00013E9F"/>
    <w:rsid w:val="0001510A"/>
    <w:rsid w:val="000179F5"/>
    <w:rsid w:val="00022643"/>
    <w:rsid w:val="00022E5B"/>
    <w:rsid w:val="00023B0E"/>
    <w:rsid w:val="00026542"/>
    <w:rsid w:val="000304AA"/>
    <w:rsid w:val="00031AAA"/>
    <w:rsid w:val="000333E6"/>
    <w:rsid w:val="00033F01"/>
    <w:rsid w:val="00033F53"/>
    <w:rsid w:val="00034A55"/>
    <w:rsid w:val="00040D4B"/>
    <w:rsid w:val="00040FAC"/>
    <w:rsid w:val="000421B5"/>
    <w:rsid w:val="000439B9"/>
    <w:rsid w:val="00044F9D"/>
    <w:rsid w:val="00044FDB"/>
    <w:rsid w:val="00046362"/>
    <w:rsid w:val="00046A05"/>
    <w:rsid w:val="00051A0E"/>
    <w:rsid w:val="00054755"/>
    <w:rsid w:val="00055BA2"/>
    <w:rsid w:val="00056061"/>
    <w:rsid w:val="00056488"/>
    <w:rsid w:val="00056E73"/>
    <w:rsid w:val="000577F4"/>
    <w:rsid w:val="0006464F"/>
    <w:rsid w:val="000652F5"/>
    <w:rsid w:val="00067086"/>
    <w:rsid w:val="0007274B"/>
    <w:rsid w:val="00073182"/>
    <w:rsid w:val="00075BC4"/>
    <w:rsid w:val="000766B6"/>
    <w:rsid w:val="00077DB2"/>
    <w:rsid w:val="000834EF"/>
    <w:rsid w:val="00084417"/>
    <w:rsid w:val="000855C1"/>
    <w:rsid w:val="000868CB"/>
    <w:rsid w:val="000950D0"/>
    <w:rsid w:val="0009571F"/>
    <w:rsid w:val="000961F1"/>
    <w:rsid w:val="000963FD"/>
    <w:rsid w:val="000A04E1"/>
    <w:rsid w:val="000A1F51"/>
    <w:rsid w:val="000A1FD7"/>
    <w:rsid w:val="000A2304"/>
    <w:rsid w:val="000A2B27"/>
    <w:rsid w:val="000A2F73"/>
    <w:rsid w:val="000B5401"/>
    <w:rsid w:val="000B6C49"/>
    <w:rsid w:val="000C095A"/>
    <w:rsid w:val="000C29AA"/>
    <w:rsid w:val="000C2EA9"/>
    <w:rsid w:val="000C3F45"/>
    <w:rsid w:val="000C6B6B"/>
    <w:rsid w:val="000C6C9D"/>
    <w:rsid w:val="000D132B"/>
    <w:rsid w:val="000D44AA"/>
    <w:rsid w:val="000D67DF"/>
    <w:rsid w:val="000E0582"/>
    <w:rsid w:val="000E0D45"/>
    <w:rsid w:val="000E2089"/>
    <w:rsid w:val="000E2A5E"/>
    <w:rsid w:val="000E3060"/>
    <w:rsid w:val="000E37B8"/>
    <w:rsid w:val="000E41D7"/>
    <w:rsid w:val="000E483E"/>
    <w:rsid w:val="000E4D84"/>
    <w:rsid w:val="000E6594"/>
    <w:rsid w:val="000E6909"/>
    <w:rsid w:val="000E713C"/>
    <w:rsid w:val="000E7D10"/>
    <w:rsid w:val="000F0A2A"/>
    <w:rsid w:val="000F266A"/>
    <w:rsid w:val="000F320C"/>
    <w:rsid w:val="000F53D0"/>
    <w:rsid w:val="000F558A"/>
    <w:rsid w:val="00100AEA"/>
    <w:rsid w:val="0010132F"/>
    <w:rsid w:val="001100F7"/>
    <w:rsid w:val="001103E0"/>
    <w:rsid w:val="00111547"/>
    <w:rsid w:val="00111B6D"/>
    <w:rsid w:val="001171F5"/>
    <w:rsid w:val="0011784B"/>
    <w:rsid w:val="00117D81"/>
    <w:rsid w:val="00121EE9"/>
    <w:rsid w:val="00122E6A"/>
    <w:rsid w:val="00123E46"/>
    <w:rsid w:val="0013173D"/>
    <w:rsid w:val="00136C54"/>
    <w:rsid w:val="00136CD1"/>
    <w:rsid w:val="00137446"/>
    <w:rsid w:val="00137CB4"/>
    <w:rsid w:val="0014076A"/>
    <w:rsid w:val="001424E7"/>
    <w:rsid w:val="0014305D"/>
    <w:rsid w:val="00144B87"/>
    <w:rsid w:val="001508E5"/>
    <w:rsid w:val="00151787"/>
    <w:rsid w:val="00151DAA"/>
    <w:rsid w:val="00151F3A"/>
    <w:rsid w:val="001522DA"/>
    <w:rsid w:val="00152401"/>
    <w:rsid w:val="001547D2"/>
    <w:rsid w:val="00155BFB"/>
    <w:rsid w:val="0015724A"/>
    <w:rsid w:val="0016164F"/>
    <w:rsid w:val="00163A49"/>
    <w:rsid w:val="00164065"/>
    <w:rsid w:val="00164406"/>
    <w:rsid w:val="001647AB"/>
    <w:rsid w:val="001658E6"/>
    <w:rsid w:val="001661BF"/>
    <w:rsid w:val="00166C7C"/>
    <w:rsid w:val="00170043"/>
    <w:rsid w:val="00170BA3"/>
    <w:rsid w:val="001760CE"/>
    <w:rsid w:val="0017778D"/>
    <w:rsid w:val="0018021A"/>
    <w:rsid w:val="00181D0F"/>
    <w:rsid w:val="00181E7C"/>
    <w:rsid w:val="0018317B"/>
    <w:rsid w:val="00184D53"/>
    <w:rsid w:val="00185000"/>
    <w:rsid w:val="00185BE2"/>
    <w:rsid w:val="00192221"/>
    <w:rsid w:val="00192DC4"/>
    <w:rsid w:val="00193531"/>
    <w:rsid w:val="001937FA"/>
    <w:rsid w:val="00194848"/>
    <w:rsid w:val="00195108"/>
    <w:rsid w:val="00195A96"/>
    <w:rsid w:val="00195CA4"/>
    <w:rsid w:val="001966D3"/>
    <w:rsid w:val="001972D2"/>
    <w:rsid w:val="001A126C"/>
    <w:rsid w:val="001A2481"/>
    <w:rsid w:val="001A3B2F"/>
    <w:rsid w:val="001A5437"/>
    <w:rsid w:val="001A5DF2"/>
    <w:rsid w:val="001A6747"/>
    <w:rsid w:val="001A685C"/>
    <w:rsid w:val="001A7D9A"/>
    <w:rsid w:val="001B42FD"/>
    <w:rsid w:val="001B5AC5"/>
    <w:rsid w:val="001B62AC"/>
    <w:rsid w:val="001B66D8"/>
    <w:rsid w:val="001C0B58"/>
    <w:rsid w:val="001C1DF3"/>
    <w:rsid w:val="001C2B24"/>
    <w:rsid w:val="001C2D19"/>
    <w:rsid w:val="001C6351"/>
    <w:rsid w:val="001C6411"/>
    <w:rsid w:val="001C707A"/>
    <w:rsid w:val="001D0D53"/>
    <w:rsid w:val="001E0D8B"/>
    <w:rsid w:val="001E1497"/>
    <w:rsid w:val="001E374A"/>
    <w:rsid w:val="001E5B99"/>
    <w:rsid w:val="001E6794"/>
    <w:rsid w:val="001E71DB"/>
    <w:rsid w:val="001E76EE"/>
    <w:rsid w:val="001E7894"/>
    <w:rsid w:val="001E7E57"/>
    <w:rsid w:val="001E7F73"/>
    <w:rsid w:val="001F2129"/>
    <w:rsid w:val="001F45A6"/>
    <w:rsid w:val="001F6E15"/>
    <w:rsid w:val="002005ED"/>
    <w:rsid w:val="00201A13"/>
    <w:rsid w:val="0020367F"/>
    <w:rsid w:val="00203A7D"/>
    <w:rsid w:val="00203D07"/>
    <w:rsid w:val="00206A8C"/>
    <w:rsid w:val="00210DF1"/>
    <w:rsid w:val="00211DD2"/>
    <w:rsid w:val="002166BB"/>
    <w:rsid w:val="0021708C"/>
    <w:rsid w:val="002170C4"/>
    <w:rsid w:val="002176D3"/>
    <w:rsid w:val="00221773"/>
    <w:rsid w:val="002220AA"/>
    <w:rsid w:val="002220FD"/>
    <w:rsid w:val="0022526D"/>
    <w:rsid w:val="002257AC"/>
    <w:rsid w:val="00227B2F"/>
    <w:rsid w:val="0023447E"/>
    <w:rsid w:val="0023622C"/>
    <w:rsid w:val="00237487"/>
    <w:rsid w:val="00242447"/>
    <w:rsid w:val="00243540"/>
    <w:rsid w:val="00244C64"/>
    <w:rsid w:val="00245326"/>
    <w:rsid w:val="002466A3"/>
    <w:rsid w:val="00246DA9"/>
    <w:rsid w:val="0025041F"/>
    <w:rsid w:val="002508A6"/>
    <w:rsid w:val="002518ED"/>
    <w:rsid w:val="00255E6F"/>
    <w:rsid w:val="0026502B"/>
    <w:rsid w:val="0026672E"/>
    <w:rsid w:val="002704AA"/>
    <w:rsid w:val="002706FA"/>
    <w:rsid w:val="00272D1D"/>
    <w:rsid w:val="0027388D"/>
    <w:rsid w:val="00274F04"/>
    <w:rsid w:val="002752EC"/>
    <w:rsid w:val="00276F7E"/>
    <w:rsid w:val="00280FE6"/>
    <w:rsid w:val="002849C6"/>
    <w:rsid w:val="00286B02"/>
    <w:rsid w:val="00287857"/>
    <w:rsid w:val="00291F42"/>
    <w:rsid w:val="00293040"/>
    <w:rsid w:val="00293220"/>
    <w:rsid w:val="0029439A"/>
    <w:rsid w:val="002971D7"/>
    <w:rsid w:val="002A17FA"/>
    <w:rsid w:val="002A7B68"/>
    <w:rsid w:val="002A7D6A"/>
    <w:rsid w:val="002B16C3"/>
    <w:rsid w:val="002B1A63"/>
    <w:rsid w:val="002B2DB8"/>
    <w:rsid w:val="002B4215"/>
    <w:rsid w:val="002B6AE8"/>
    <w:rsid w:val="002B75B8"/>
    <w:rsid w:val="002C17CF"/>
    <w:rsid w:val="002C22DA"/>
    <w:rsid w:val="002C279D"/>
    <w:rsid w:val="002C2A1A"/>
    <w:rsid w:val="002C3BD2"/>
    <w:rsid w:val="002C489B"/>
    <w:rsid w:val="002C6BF5"/>
    <w:rsid w:val="002C782B"/>
    <w:rsid w:val="002C7B3E"/>
    <w:rsid w:val="002D0AED"/>
    <w:rsid w:val="002D13C7"/>
    <w:rsid w:val="002D260A"/>
    <w:rsid w:val="002D359F"/>
    <w:rsid w:val="002D3D95"/>
    <w:rsid w:val="002D55CE"/>
    <w:rsid w:val="002D67A8"/>
    <w:rsid w:val="002E040E"/>
    <w:rsid w:val="002E0F67"/>
    <w:rsid w:val="002E1523"/>
    <w:rsid w:val="002E1DBE"/>
    <w:rsid w:val="002E3ECE"/>
    <w:rsid w:val="002E4A4D"/>
    <w:rsid w:val="002E4E3F"/>
    <w:rsid w:val="002E6087"/>
    <w:rsid w:val="002F157F"/>
    <w:rsid w:val="002F1EA9"/>
    <w:rsid w:val="002F505C"/>
    <w:rsid w:val="002F5D77"/>
    <w:rsid w:val="002F78BA"/>
    <w:rsid w:val="003002CD"/>
    <w:rsid w:val="00301E6D"/>
    <w:rsid w:val="00304B74"/>
    <w:rsid w:val="003054BC"/>
    <w:rsid w:val="00305515"/>
    <w:rsid w:val="00306A4E"/>
    <w:rsid w:val="003115FB"/>
    <w:rsid w:val="00313702"/>
    <w:rsid w:val="0031378C"/>
    <w:rsid w:val="0031490E"/>
    <w:rsid w:val="00314E31"/>
    <w:rsid w:val="003172FF"/>
    <w:rsid w:val="00321307"/>
    <w:rsid w:val="00326061"/>
    <w:rsid w:val="00327B3B"/>
    <w:rsid w:val="00327B77"/>
    <w:rsid w:val="003307FE"/>
    <w:rsid w:val="00340806"/>
    <w:rsid w:val="0034257A"/>
    <w:rsid w:val="00344DF3"/>
    <w:rsid w:val="003457E6"/>
    <w:rsid w:val="00351ED5"/>
    <w:rsid w:val="00353F5F"/>
    <w:rsid w:val="0035418B"/>
    <w:rsid w:val="00355AB3"/>
    <w:rsid w:val="00360513"/>
    <w:rsid w:val="00360F1D"/>
    <w:rsid w:val="00362FB2"/>
    <w:rsid w:val="003634DA"/>
    <w:rsid w:val="00363513"/>
    <w:rsid w:val="00363A39"/>
    <w:rsid w:val="003665E4"/>
    <w:rsid w:val="003719C9"/>
    <w:rsid w:val="00371F93"/>
    <w:rsid w:val="00372A02"/>
    <w:rsid w:val="003751B1"/>
    <w:rsid w:val="00375FC9"/>
    <w:rsid w:val="00377235"/>
    <w:rsid w:val="003774DA"/>
    <w:rsid w:val="00377EF6"/>
    <w:rsid w:val="00380111"/>
    <w:rsid w:val="00381EB2"/>
    <w:rsid w:val="00382987"/>
    <w:rsid w:val="003869D9"/>
    <w:rsid w:val="00386BF5"/>
    <w:rsid w:val="00390587"/>
    <w:rsid w:val="003906AB"/>
    <w:rsid w:val="00390B26"/>
    <w:rsid w:val="00393D0B"/>
    <w:rsid w:val="00393EE8"/>
    <w:rsid w:val="003977E2"/>
    <w:rsid w:val="00397D64"/>
    <w:rsid w:val="00397F20"/>
    <w:rsid w:val="003A0210"/>
    <w:rsid w:val="003A0946"/>
    <w:rsid w:val="003A2997"/>
    <w:rsid w:val="003A46B9"/>
    <w:rsid w:val="003A6DDB"/>
    <w:rsid w:val="003A70AD"/>
    <w:rsid w:val="003B071B"/>
    <w:rsid w:val="003B35B0"/>
    <w:rsid w:val="003B4B94"/>
    <w:rsid w:val="003B510D"/>
    <w:rsid w:val="003B6671"/>
    <w:rsid w:val="003B7D1E"/>
    <w:rsid w:val="003C25F0"/>
    <w:rsid w:val="003C34C6"/>
    <w:rsid w:val="003C53B3"/>
    <w:rsid w:val="003C59A8"/>
    <w:rsid w:val="003C5EED"/>
    <w:rsid w:val="003C7A49"/>
    <w:rsid w:val="003D13EE"/>
    <w:rsid w:val="003D2FB0"/>
    <w:rsid w:val="003D4F82"/>
    <w:rsid w:val="003D570F"/>
    <w:rsid w:val="003D6646"/>
    <w:rsid w:val="003E030F"/>
    <w:rsid w:val="003E1821"/>
    <w:rsid w:val="003E199A"/>
    <w:rsid w:val="003E19F1"/>
    <w:rsid w:val="003E589C"/>
    <w:rsid w:val="003E6B0B"/>
    <w:rsid w:val="003F0CBD"/>
    <w:rsid w:val="003F30C7"/>
    <w:rsid w:val="003F3FF3"/>
    <w:rsid w:val="003F5B63"/>
    <w:rsid w:val="003F68B6"/>
    <w:rsid w:val="003F750D"/>
    <w:rsid w:val="004015AA"/>
    <w:rsid w:val="00401F3B"/>
    <w:rsid w:val="00401FDC"/>
    <w:rsid w:val="00402B3C"/>
    <w:rsid w:val="004046D7"/>
    <w:rsid w:val="004057DD"/>
    <w:rsid w:val="00405BD2"/>
    <w:rsid w:val="00406DA9"/>
    <w:rsid w:val="00407B6C"/>
    <w:rsid w:val="00407D27"/>
    <w:rsid w:val="0041306F"/>
    <w:rsid w:val="004130B4"/>
    <w:rsid w:val="004132B2"/>
    <w:rsid w:val="004140A5"/>
    <w:rsid w:val="00414C56"/>
    <w:rsid w:val="00415B51"/>
    <w:rsid w:val="00415F23"/>
    <w:rsid w:val="00420C26"/>
    <w:rsid w:val="00425418"/>
    <w:rsid w:val="0042687C"/>
    <w:rsid w:val="004301FB"/>
    <w:rsid w:val="004360A8"/>
    <w:rsid w:val="00436E00"/>
    <w:rsid w:val="00437CF8"/>
    <w:rsid w:val="004402E1"/>
    <w:rsid w:val="0044142A"/>
    <w:rsid w:val="00441482"/>
    <w:rsid w:val="004421A0"/>
    <w:rsid w:val="00442746"/>
    <w:rsid w:val="004428A4"/>
    <w:rsid w:val="00443042"/>
    <w:rsid w:val="0044306B"/>
    <w:rsid w:val="00443381"/>
    <w:rsid w:val="004442B1"/>
    <w:rsid w:val="004506FA"/>
    <w:rsid w:val="00450D23"/>
    <w:rsid w:val="004518A7"/>
    <w:rsid w:val="00453115"/>
    <w:rsid w:val="00456237"/>
    <w:rsid w:val="00460010"/>
    <w:rsid w:val="004627C8"/>
    <w:rsid w:val="0046461D"/>
    <w:rsid w:val="004652FA"/>
    <w:rsid w:val="004674BF"/>
    <w:rsid w:val="00472633"/>
    <w:rsid w:val="004727E9"/>
    <w:rsid w:val="0047533C"/>
    <w:rsid w:val="00475DF1"/>
    <w:rsid w:val="0048221E"/>
    <w:rsid w:val="00492C70"/>
    <w:rsid w:val="00492F1B"/>
    <w:rsid w:val="00493929"/>
    <w:rsid w:val="00493958"/>
    <w:rsid w:val="004939C5"/>
    <w:rsid w:val="004954AB"/>
    <w:rsid w:val="00495514"/>
    <w:rsid w:val="004961BE"/>
    <w:rsid w:val="004A079F"/>
    <w:rsid w:val="004A42AE"/>
    <w:rsid w:val="004A494F"/>
    <w:rsid w:val="004A59F4"/>
    <w:rsid w:val="004A733E"/>
    <w:rsid w:val="004A7E42"/>
    <w:rsid w:val="004B036F"/>
    <w:rsid w:val="004B217A"/>
    <w:rsid w:val="004B35E6"/>
    <w:rsid w:val="004B3AD9"/>
    <w:rsid w:val="004B6B23"/>
    <w:rsid w:val="004C25F2"/>
    <w:rsid w:val="004C40B7"/>
    <w:rsid w:val="004C6462"/>
    <w:rsid w:val="004C7A44"/>
    <w:rsid w:val="004D02DA"/>
    <w:rsid w:val="004D08BA"/>
    <w:rsid w:val="004D436E"/>
    <w:rsid w:val="004D504C"/>
    <w:rsid w:val="004D745C"/>
    <w:rsid w:val="004D7841"/>
    <w:rsid w:val="004E0381"/>
    <w:rsid w:val="004E42FF"/>
    <w:rsid w:val="004E4326"/>
    <w:rsid w:val="004E4A35"/>
    <w:rsid w:val="004E5266"/>
    <w:rsid w:val="004E5358"/>
    <w:rsid w:val="004F035C"/>
    <w:rsid w:val="004F13E8"/>
    <w:rsid w:val="004F42C9"/>
    <w:rsid w:val="004F626C"/>
    <w:rsid w:val="005027DA"/>
    <w:rsid w:val="00502970"/>
    <w:rsid w:val="00504A5A"/>
    <w:rsid w:val="00505D1E"/>
    <w:rsid w:val="00506494"/>
    <w:rsid w:val="00507D55"/>
    <w:rsid w:val="00510F6B"/>
    <w:rsid w:val="00511A15"/>
    <w:rsid w:val="00511BCF"/>
    <w:rsid w:val="005131EB"/>
    <w:rsid w:val="005215BF"/>
    <w:rsid w:val="005250CB"/>
    <w:rsid w:val="00526C16"/>
    <w:rsid w:val="00530779"/>
    <w:rsid w:val="005358E7"/>
    <w:rsid w:val="00535CF5"/>
    <w:rsid w:val="00536158"/>
    <w:rsid w:val="00536B95"/>
    <w:rsid w:val="005400C3"/>
    <w:rsid w:val="00540E11"/>
    <w:rsid w:val="00541265"/>
    <w:rsid w:val="00541B42"/>
    <w:rsid w:val="00542050"/>
    <w:rsid w:val="0054311B"/>
    <w:rsid w:val="005475B4"/>
    <w:rsid w:val="0055092B"/>
    <w:rsid w:val="00554283"/>
    <w:rsid w:val="00554630"/>
    <w:rsid w:val="00555094"/>
    <w:rsid w:val="005564F2"/>
    <w:rsid w:val="00556505"/>
    <w:rsid w:val="00557258"/>
    <w:rsid w:val="00561392"/>
    <w:rsid w:val="00561A81"/>
    <w:rsid w:val="00561F30"/>
    <w:rsid w:val="0056415B"/>
    <w:rsid w:val="00565525"/>
    <w:rsid w:val="005656F5"/>
    <w:rsid w:val="0056621C"/>
    <w:rsid w:val="00566729"/>
    <w:rsid w:val="00566E64"/>
    <w:rsid w:val="005676DB"/>
    <w:rsid w:val="00571B4F"/>
    <w:rsid w:val="00572615"/>
    <w:rsid w:val="00574977"/>
    <w:rsid w:val="005753C7"/>
    <w:rsid w:val="00575F6D"/>
    <w:rsid w:val="00576157"/>
    <w:rsid w:val="00576865"/>
    <w:rsid w:val="005802AC"/>
    <w:rsid w:val="005802BE"/>
    <w:rsid w:val="00582908"/>
    <w:rsid w:val="00583971"/>
    <w:rsid w:val="0058535E"/>
    <w:rsid w:val="00586C1A"/>
    <w:rsid w:val="00586EF2"/>
    <w:rsid w:val="005871FC"/>
    <w:rsid w:val="00587462"/>
    <w:rsid w:val="00590B7C"/>
    <w:rsid w:val="00590D06"/>
    <w:rsid w:val="00590E00"/>
    <w:rsid w:val="00590F82"/>
    <w:rsid w:val="005916B1"/>
    <w:rsid w:val="00591CFC"/>
    <w:rsid w:val="00593167"/>
    <w:rsid w:val="005962D7"/>
    <w:rsid w:val="00596F3F"/>
    <w:rsid w:val="00597FB4"/>
    <w:rsid w:val="005A1D4E"/>
    <w:rsid w:val="005A2BED"/>
    <w:rsid w:val="005A695B"/>
    <w:rsid w:val="005A70B7"/>
    <w:rsid w:val="005A784D"/>
    <w:rsid w:val="005B0584"/>
    <w:rsid w:val="005B10F6"/>
    <w:rsid w:val="005B1968"/>
    <w:rsid w:val="005B5055"/>
    <w:rsid w:val="005B5B7A"/>
    <w:rsid w:val="005B6E37"/>
    <w:rsid w:val="005C1EE3"/>
    <w:rsid w:val="005C235F"/>
    <w:rsid w:val="005C2638"/>
    <w:rsid w:val="005C3A72"/>
    <w:rsid w:val="005C40F6"/>
    <w:rsid w:val="005C612E"/>
    <w:rsid w:val="005C62D4"/>
    <w:rsid w:val="005C6C6D"/>
    <w:rsid w:val="005D131E"/>
    <w:rsid w:val="005D1967"/>
    <w:rsid w:val="005D2821"/>
    <w:rsid w:val="005D2D18"/>
    <w:rsid w:val="005D34B0"/>
    <w:rsid w:val="005D4B96"/>
    <w:rsid w:val="005D4E30"/>
    <w:rsid w:val="005D53D1"/>
    <w:rsid w:val="005D7442"/>
    <w:rsid w:val="005E138B"/>
    <w:rsid w:val="005E2330"/>
    <w:rsid w:val="005E2B32"/>
    <w:rsid w:val="005E40B9"/>
    <w:rsid w:val="005E5499"/>
    <w:rsid w:val="005E5F9E"/>
    <w:rsid w:val="005E60F1"/>
    <w:rsid w:val="005E71EB"/>
    <w:rsid w:val="005F3283"/>
    <w:rsid w:val="005F5976"/>
    <w:rsid w:val="005F5990"/>
    <w:rsid w:val="005F5EF6"/>
    <w:rsid w:val="005F7F90"/>
    <w:rsid w:val="00601EBB"/>
    <w:rsid w:val="006026A0"/>
    <w:rsid w:val="00602FF1"/>
    <w:rsid w:val="00603C42"/>
    <w:rsid w:val="00604104"/>
    <w:rsid w:val="0060524E"/>
    <w:rsid w:val="00607948"/>
    <w:rsid w:val="00610067"/>
    <w:rsid w:val="0061046E"/>
    <w:rsid w:val="00612914"/>
    <w:rsid w:val="00613A29"/>
    <w:rsid w:val="00613D48"/>
    <w:rsid w:val="00617F77"/>
    <w:rsid w:val="00622130"/>
    <w:rsid w:val="006221EC"/>
    <w:rsid w:val="0062227E"/>
    <w:rsid w:val="006236AF"/>
    <w:rsid w:val="0062509B"/>
    <w:rsid w:val="006272C0"/>
    <w:rsid w:val="006328BE"/>
    <w:rsid w:val="00633A06"/>
    <w:rsid w:val="00633CF8"/>
    <w:rsid w:val="00634047"/>
    <w:rsid w:val="0063425E"/>
    <w:rsid w:val="0063483B"/>
    <w:rsid w:val="00635021"/>
    <w:rsid w:val="006423E0"/>
    <w:rsid w:val="00646857"/>
    <w:rsid w:val="006468F9"/>
    <w:rsid w:val="00647102"/>
    <w:rsid w:val="00650A21"/>
    <w:rsid w:val="00653031"/>
    <w:rsid w:val="006546E1"/>
    <w:rsid w:val="00654B89"/>
    <w:rsid w:val="006561CD"/>
    <w:rsid w:val="00667DA1"/>
    <w:rsid w:val="00670D45"/>
    <w:rsid w:val="0067137F"/>
    <w:rsid w:val="00671B79"/>
    <w:rsid w:val="00671E86"/>
    <w:rsid w:val="00673BFD"/>
    <w:rsid w:val="00674BEB"/>
    <w:rsid w:val="006767D1"/>
    <w:rsid w:val="0068068F"/>
    <w:rsid w:val="00681A17"/>
    <w:rsid w:val="00684BD2"/>
    <w:rsid w:val="00685B26"/>
    <w:rsid w:val="00692FF0"/>
    <w:rsid w:val="006931F4"/>
    <w:rsid w:val="006933D1"/>
    <w:rsid w:val="00693D76"/>
    <w:rsid w:val="00695C01"/>
    <w:rsid w:val="006969A1"/>
    <w:rsid w:val="00696BC6"/>
    <w:rsid w:val="006A1A96"/>
    <w:rsid w:val="006A1B73"/>
    <w:rsid w:val="006A291B"/>
    <w:rsid w:val="006A29C5"/>
    <w:rsid w:val="006A34BD"/>
    <w:rsid w:val="006A3DD5"/>
    <w:rsid w:val="006A527E"/>
    <w:rsid w:val="006B0F9B"/>
    <w:rsid w:val="006B11E7"/>
    <w:rsid w:val="006B1951"/>
    <w:rsid w:val="006B2E1F"/>
    <w:rsid w:val="006B6E0F"/>
    <w:rsid w:val="006B76FF"/>
    <w:rsid w:val="006C0789"/>
    <w:rsid w:val="006C0923"/>
    <w:rsid w:val="006C1E89"/>
    <w:rsid w:val="006D033F"/>
    <w:rsid w:val="006D1A92"/>
    <w:rsid w:val="006D1B42"/>
    <w:rsid w:val="006D2155"/>
    <w:rsid w:val="006D34FF"/>
    <w:rsid w:val="006D39BC"/>
    <w:rsid w:val="006D4B2B"/>
    <w:rsid w:val="006D7FA2"/>
    <w:rsid w:val="006E1C24"/>
    <w:rsid w:val="006E2F35"/>
    <w:rsid w:val="006E3E57"/>
    <w:rsid w:val="006E5B16"/>
    <w:rsid w:val="006E649D"/>
    <w:rsid w:val="006E65CC"/>
    <w:rsid w:val="006E6B0A"/>
    <w:rsid w:val="006E73A8"/>
    <w:rsid w:val="006F00E1"/>
    <w:rsid w:val="006F0988"/>
    <w:rsid w:val="006F0EB5"/>
    <w:rsid w:val="006F1744"/>
    <w:rsid w:val="006F6661"/>
    <w:rsid w:val="006F7E0A"/>
    <w:rsid w:val="0070021F"/>
    <w:rsid w:val="007009BF"/>
    <w:rsid w:val="00701C4C"/>
    <w:rsid w:val="00704162"/>
    <w:rsid w:val="0070474B"/>
    <w:rsid w:val="00710D75"/>
    <w:rsid w:val="00711082"/>
    <w:rsid w:val="00711A2B"/>
    <w:rsid w:val="00712861"/>
    <w:rsid w:val="007130E2"/>
    <w:rsid w:val="007166A7"/>
    <w:rsid w:val="007166CF"/>
    <w:rsid w:val="007208AB"/>
    <w:rsid w:val="00721B0C"/>
    <w:rsid w:val="00727309"/>
    <w:rsid w:val="00727578"/>
    <w:rsid w:val="0073002D"/>
    <w:rsid w:val="007319C8"/>
    <w:rsid w:val="0073386D"/>
    <w:rsid w:val="00733D5A"/>
    <w:rsid w:val="00733DE3"/>
    <w:rsid w:val="00734822"/>
    <w:rsid w:val="007354D9"/>
    <w:rsid w:val="00736377"/>
    <w:rsid w:val="007370D1"/>
    <w:rsid w:val="00737B57"/>
    <w:rsid w:val="00743ED3"/>
    <w:rsid w:val="00745370"/>
    <w:rsid w:val="00746C01"/>
    <w:rsid w:val="00751B04"/>
    <w:rsid w:val="007528D2"/>
    <w:rsid w:val="007544BB"/>
    <w:rsid w:val="0075453B"/>
    <w:rsid w:val="007548BE"/>
    <w:rsid w:val="007557F8"/>
    <w:rsid w:val="0075703B"/>
    <w:rsid w:val="00757A7D"/>
    <w:rsid w:val="007607EE"/>
    <w:rsid w:val="00764902"/>
    <w:rsid w:val="00764BD7"/>
    <w:rsid w:val="00765379"/>
    <w:rsid w:val="00766820"/>
    <w:rsid w:val="00766F19"/>
    <w:rsid w:val="0077147B"/>
    <w:rsid w:val="00772112"/>
    <w:rsid w:val="0077323E"/>
    <w:rsid w:val="007738FC"/>
    <w:rsid w:val="0077498C"/>
    <w:rsid w:val="00774BDA"/>
    <w:rsid w:val="007750D8"/>
    <w:rsid w:val="00775430"/>
    <w:rsid w:val="007768DF"/>
    <w:rsid w:val="007802A0"/>
    <w:rsid w:val="00781740"/>
    <w:rsid w:val="00781F42"/>
    <w:rsid w:val="00782837"/>
    <w:rsid w:val="00783539"/>
    <w:rsid w:val="00784247"/>
    <w:rsid w:val="00784613"/>
    <w:rsid w:val="0079083B"/>
    <w:rsid w:val="0079102A"/>
    <w:rsid w:val="00791FF5"/>
    <w:rsid w:val="00794D94"/>
    <w:rsid w:val="00797C72"/>
    <w:rsid w:val="007A0834"/>
    <w:rsid w:val="007A2C48"/>
    <w:rsid w:val="007A31FA"/>
    <w:rsid w:val="007A44E8"/>
    <w:rsid w:val="007A4BDF"/>
    <w:rsid w:val="007A5872"/>
    <w:rsid w:val="007A6E84"/>
    <w:rsid w:val="007A72A8"/>
    <w:rsid w:val="007B048D"/>
    <w:rsid w:val="007B1562"/>
    <w:rsid w:val="007B2247"/>
    <w:rsid w:val="007B3424"/>
    <w:rsid w:val="007B3F35"/>
    <w:rsid w:val="007B45BC"/>
    <w:rsid w:val="007B6C94"/>
    <w:rsid w:val="007C014E"/>
    <w:rsid w:val="007C0DA1"/>
    <w:rsid w:val="007C2CDA"/>
    <w:rsid w:val="007C37AD"/>
    <w:rsid w:val="007C3C47"/>
    <w:rsid w:val="007C5334"/>
    <w:rsid w:val="007D09C8"/>
    <w:rsid w:val="007D0D99"/>
    <w:rsid w:val="007D1227"/>
    <w:rsid w:val="007D35F9"/>
    <w:rsid w:val="007D3817"/>
    <w:rsid w:val="007D3A2E"/>
    <w:rsid w:val="007D40AF"/>
    <w:rsid w:val="007D52CE"/>
    <w:rsid w:val="007D5BDA"/>
    <w:rsid w:val="007E14CA"/>
    <w:rsid w:val="007E3BE9"/>
    <w:rsid w:val="007E6374"/>
    <w:rsid w:val="007E6454"/>
    <w:rsid w:val="007E6CE1"/>
    <w:rsid w:val="007E796D"/>
    <w:rsid w:val="007F0AED"/>
    <w:rsid w:val="007F34DF"/>
    <w:rsid w:val="007F37B8"/>
    <w:rsid w:val="007F3C60"/>
    <w:rsid w:val="007F469F"/>
    <w:rsid w:val="007F46EC"/>
    <w:rsid w:val="007F5B24"/>
    <w:rsid w:val="008000DB"/>
    <w:rsid w:val="008051F5"/>
    <w:rsid w:val="00805399"/>
    <w:rsid w:val="00806298"/>
    <w:rsid w:val="0081107A"/>
    <w:rsid w:val="00814A77"/>
    <w:rsid w:val="008154FE"/>
    <w:rsid w:val="00817122"/>
    <w:rsid w:val="00817A91"/>
    <w:rsid w:val="0082007B"/>
    <w:rsid w:val="00822F69"/>
    <w:rsid w:val="008252F7"/>
    <w:rsid w:val="0082620F"/>
    <w:rsid w:val="00826BFF"/>
    <w:rsid w:val="00827688"/>
    <w:rsid w:val="0083096D"/>
    <w:rsid w:val="00830D6F"/>
    <w:rsid w:val="00830F5D"/>
    <w:rsid w:val="00832664"/>
    <w:rsid w:val="00832961"/>
    <w:rsid w:val="0083506E"/>
    <w:rsid w:val="00835173"/>
    <w:rsid w:val="00840278"/>
    <w:rsid w:val="00842F08"/>
    <w:rsid w:val="0084366E"/>
    <w:rsid w:val="0085093A"/>
    <w:rsid w:val="00850F4B"/>
    <w:rsid w:val="00852C37"/>
    <w:rsid w:val="008531AE"/>
    <w:rsid w:val="00854F4C"/>
    <w:rsid w:val="00855E80"/>
    <w:rsid w:val="008614BB"/>
    <w:rsid w:val="00861A95"/>
    <w:rsid w:val="0086283A"/>
    <w:rsid w:val="00862EBA"/>
    <w:rsid w:val="00863B31"/>
    <w:rsid w:val="008660CC"/>
    <w:rsid w:val="00871952"/>
    <w:rsid w:val="0087229C"/>
    <w:rsid w:val="0087396F"/>
    <w:rsid w:val="008757BB"/>
    <w:rsid w:val="00876AE8"/>
    <w:rsid w:val="00880B9D"/>
    <w:rsid w:val="00881E06"/>
    <w:rsid w:val="00883298"/>
    <w:rsid w:val="00883788"/>
    <w:rsid w:val="0088484D"/>
    <w:rsid w:val="00885B86"/>
    <w:rsid w:val="00886114"/>
    <w:rsid w:val="00890762"/>
    <w:rsid w:val="008927DC"/>
    <w:rsid w:val="00893C87"/>
    <w:rsid w:val="00896ADA"/>
    <w:rsid w:val="008A1DE7"/>
    <w:rsid w:val="008A23CE"/>
    <w:rsid w:val="008A34DB"/>
    <w:rsid w:val="008A35EE"/>
    <w:rsid w:val="008A3AC2"/>
    <w:rsid w:val="008A6669"/>
    <w:rsid w:val="008A78DC"/>
    <w:rsid w:val="008B07FC"/>
    <w:rsid w:val="008B18CB"/>
    <w:rsid w:val="008B1990"/>
    <w:rsid w:val="008B1E74"/>
    <w:rsid w:val="008B2339"/>
    <w:rsid w:val="008B2A4A"/>
    <w:rsid w:val="008B41F4"/>
    <w:rsid w:val="008B44CD"/>
    <w:rsid w:val="008B4932"/>
    <w:rsid w:val="008B63E0"/>
    <w:rsid w:val="008C11DB"/>
    <w:rsid w:val="008C1B13"/>
    <w:rsid w:val="008C1C87"/>
    <w:rsid w:val="008C222E"/>
    <w:rsid w:val="008C2755"/>
    <w:rsid w:val="008C2CF0"/>
    <w:rsid w:val="008C3393"/>
    <w:rsid w:val="008C359E"/>
    <w:rsid w:val="008C492A"/>
    <w:rsid w:val="008C6705"/>
    <w:rsid w:val="008C6FA0"/>
    <w:rsid w:val="008C79E6"/>
    <w:rsid w:val="008D0A8E"/>
    <w:rsid w:val="008D582F"/>
    <w:rsid w:val="008D5AFE"/>
    <w:rsid w:val="008D5F49"/>
    <w:rsid w:val="008D6CB3"/>
    <w:rsid w:val="008D7887"/>
    <w:rsid w:val="008D7F0C"/>
    <w:rsid w:val="008E17D5"/>
    <w:rsid w:val="008E1FFF"/>
    <w:rsid w:val="008E2B70"/>
    <w:rsid w:val="008E2CA2"/>
    <w:rsid w:val="008E2DC9"/>
    <w:rsid w:val="008E4F7A"/>
    <w:rsid w:val="008E61FC"/>
    <w:rsid w:val="008E6966"/>
    <w:rsid w:val="008F35E8"/>
    <w:rsid w:val="008F54AF"/>
    <w:rsid w:val="008F79BF"/>
    <w:rsid w:val="008F7CB9"/>
    <w:rsid w:val="009006F0"/>
    <w:rsid w:val="00901365"/>
    <w:rsid w:val="00901534"/>
    <w:rsid w:val="00901F77"/>
    <w:rsid w:val="00904E1D"/>
    <w:rsid w:val="00906B06"/>
    <w:rsid w:val="00910BA6"/>
    <w:rsid w:val="00911FF3"/>
    <w:rsid w:val="00912A29"/>
    <w:rsid w:val="009134EE"/>
    <w:rsid w:val="00913C7D"/>
    <w:rsid w:val="0091490C"/>
    <w:rsid w:val="00914E7E"/>
    <w:rsid w:val="00916E67"/>
    <w:rsid w:val="00917B10"/>
    <w:rsid w:val="00921244"/>
    <w:rsid w:val="0092150F"/>
    <w:rsid w:val="00925CAE"/>
    <w:rsid w:val="00930851"/>
    <w:rsid w:val="00931248"/>
    <w:rsid w:val="009340FA"/>
    <w:rsid w:val="00934655"/>
    <w:rsid w:val="00936294"/>
    <w:rsid w:val="00936411"/>
    <w:rsid w:val="00936416"/>
    <w:rsid w:val="00936C4A"/>
    <w:rsid w:val="009403C3"/>
    <w:rsid w:val="00946BE9"/>
    <w:rsid w:val="00950B54"/>
    <w:rsid w:val="00950D68"/>
    <w:rsid w:val="0095775A"/>
    <w:rsid w:val="00957810"/>
    <w:rsid w:val="00957C0B"/>
    <w:rsid w:val="00961052"/>
    <w:rsid w:val="00963FF2"/>
    <w:rsid w:val="00965BB8"/>
    <w:rsid w:val="00973096"/>
    <w:rsid w:val="009744A4"/>
    <w:rsid w:val="0097553E"/>
    <w:rsid w:val="00975981"/>
    <w:rsid w:val="009759C5"/>
    <w:rsid w:val="00981217"/>
    <w:rsid w:val="00981C52"/>
    <w:rsid w:val="00981EA1"/>
    <w:rsid w:val="0098211F"/>
    <w:rsid w:val="009858B4"/>
    <w:rsid w:val="009859EB"/>
    <w:rsid w:val="00986C3E"/>
    <w:rsid w:val="009913BF"/>
    <w:rsid w:val="009924A9"/>
    <w:rsid w:val="00992A27"/>
    <w:rsid w:val="00996424"/>
    <w:rsid w:val="009A1B53"/>
    <w:rsid w:val="009A66B1"/>
    <w:rsid w:val="009A6C6C"/>
    <w:rsid w:val="009A74E0"/>
    <w:rsid w:val="009B1EEC"/>
    <w:rsid w:val="009B3DCF"/>
    <w:rsid w:val="009B3DD1"/>
    <w:rsid w:val="009B6A3E"/>
    <w:rsid w:val="009C01FF"/>
    <w:rsid w:val="009C23F5"/>
    <w:rsid w:val="009C29E8"/>
    <w:rsid w:val="009C2C58"/>
    <w:rsid w:val="009C3070"/>
    <w:rsid w:val="009C32C7"/>
    <w:rsid w:val="009C37E4"/>
    <w:rsid w:val="009C6D3D"/>
    <w:rsid w:val="009C795C"/>
    <w:rsid w:val="009C7E86"/>
    <w:rsid w:val="009D248F"/>
    <w:rsid w:val="009D3C19"/>
    <w:rsid w:val="009E13B4"/>
    <w:rsid w:val="009E2829"/>
    <w:rsid w:val="009E38ED"/>
    <w:rsid w:val="009E4D28"/>
    <w:rsid w:val="009F2064"/>
    <w:rsid w:val="009F2599"/>
    <w:rsid w:val="009F54EB"/>
    <w:rsid w:val="009F7827"/>
    <w:rsid w:val="00A02D13"/>
    <w:rsid w:val="00A05255"/>
    <w:rsid w:val="00A101A3"/>
    <w:rsid w:val="00A1411F"/>
    <w:rsid w:val="00A16370"/>
    <w:rsid w:val="00A16F0A"/>
    <w:rsid w:val="00A17FA1"/>
    <w:rsid w:val="00A20FAF"/>
    <w:rsid w:val="00A21EEC"/>
    <w:rsid w:val="00A25EF2"/>
    <w:rsid w:val="00A26803"/>
    <w:rsid w:val="00A27E12"/>
    <w:rsid w:val="00A33802"/>
    <w:rsid w:val="00A34944"/>
    <w:rsid w:val="00A36DCD"/>
    <w:rsid w:val="00A37991"/>
    <w:rsid w:val="00A40871"/>
    <w:rsid w:val="00A41C21"/>
    <w:rsid w:val="00A43513"/>
    <w:rsid w:val="00A4360A"/>
    <w:rsid w:val="00A43DDD"/>
    <w:rsid w:val="00A46EF7"/>
    <w:rsid w:val="00A47611"/>
    <w:rsid w:val="00A478C4"/>
    <w:rsid w:val="00A47D31"/>
    <w:rsid w:val="00A5229D"/>
    <w:rsid w:val="00A53850"/>
    <w:rsid w:val="00A573D8"/>
    <w:rsid w:val="00A57CAD"/>
    <w:rsid w:val="00A60224"/>
    <w:rsid w:val="00A63C03"/>
    <w:rsid w:val="00A725CF"/>
    <w:rsid w:val="00A739D5"/>
    <w:rsid w:val="00A745B5"/>
    <w:rsid w:val="00A74BCE"/>
    <w:rsid w:val="00A804A0"/>
    <w:rsid w:val="00A82B8E"/>
    <w:rsid w:val="00A85C31"/>
    <w:rsid w:val="00A86542"/>
    <w:rsid w:val="00A8669B"/>
    <w:rsid w:val="00A87D38"/>
    <w:rsid w:val="00A91D5E"/>
    <w:rsid w:val="00A936D4"/>
    <w:rsid w:val="00A96D05"/>
    <w:rsid w:val="00AA2063"/>
    <w:rsid w:val="00AA3EA9"/>
    <w:rsid w:val="00AA56F2"/>
    <w:rsid w:val="00AA5ECB"/>
    <w:rsid w:val="00AA6D82"/>
    <w:rsid w:val="00AA6DAF"/>
    <w:rsid w:val="00AA7675"/>
    <w:rsid w:val="00AB11CE"/>
    <w:rsid w:val="00AB1E4C"/>
    <w:rsid w:val="00AB28C9"/>
    <w:rsid w:val="00AB4CF5"/>
    <w:rsid w:val="00AB5E9C"/>
    <w:rsid w:val="00AC0962"/>
    <w:rsid w:val="00AC0C9A"/>
    <w:rsid w:val="00AC24E4"/>
    <w:rsid w:val="00AC2A41"/>
    <w:rsid w:val="00AC364F"/>
    <w:rsid w:val="00AC3F50"/>
    <w:rsid w:val="00AC4915"/>
    <w:rsid w:val="00AC67FA"/>
    <w:rsid w:val="00AD171D"/>
    <w:rsid w:val="00AD1F85"/>
    <w:rsid w:val="00AD4547"/>
    <w:rsid w:val="00AD4D23"/>
    <w:rsid w:val="00AD74C0"/>
    <w:rsid w:val="00AE0CCD"/>
    <w:rsid w:val="00AE0F61"/>
    <w:rsid w:val="00AE1139"/>
    <w:rsid w:val="00AF3551"/>
    <w:rsid w:val="00AF390B"/>
    <w:rsid w:val="00AF393E"/>
    <w:rsid w:val="00AF3FF6"/>
    <w:rsid w:val="00AF5326"/>
    <w:rsid w:val="00AF6759"/>
    <w:rsid w:val="00B0268B"/>
    <w:rsid w:val="00B026C7"/>
    <w:rsid w:val="00B047CC"/>
    <w:rsid w:val="00B048EB"/>
    <w:rsid w:val="00B137CC"/>
    <w:rsid w:val="00B156F6"/>
    <w:rsid w:val="00B17666"/>
    <w:rsid w:val="00B17AD2"/>
    <w:rsid w:val="00B20505"/>
    <w:rsid w:val="00B20852"/>
    <w:rsid w:val="00B21A35"/>
    <w:rsid w:val="00B226A1"/>
    <w:rsid w:val="00B23BC1"/>
    <w:rsid w:val="00B26412"/>
    <w:rsid w:val="00B27B9F"/>
    <w:rsid w:val="00B3303D"/>
    <w:rsid w:val="00B33A3E"/>
    <w:rsid w:val="00B355E1"/>
    <w:rsid w:val="00B35BF4"/>
    <w:rsid w:val="00B35E1D"/>
    <w:rsid w:val="00B364BA"/>
    <w:rsid w:val="00B364EF"/>
    <w:rsid w:val="00B402EE"/>
    <w:rsid w:val="00B40A0C"/>
    <w:rsid w:val="00B40D86"/>
    <w:rsid w:val="00B414FB"/>
    <w:rsid w:val="00B4155B"/>
    <w:rsid w:val="00B42B45"/>
    <w:rsid w:val="00B43DC0"/>
    <w:rsid w:val="00B44B1E"/>
    <w:rsid w:val="00B44C82"/>
    <w:rsid w:val="00B44ED6"/>
    <w:rsid w:val="00B45DDA"/>
    <w:rsid w:val="00B47D70"/>
    <w:rsid w:val="00B5058F"/>
    <w:rsid w:val="00B51FB6"/>
    <w:rsid w:val="00B52B6D"/>
    <w:rsid w:val="00B52FC2"/>
    <w:rsid w:val="00B549CB"/>
    <w:rsid w:val="00B54D5B"/>
    <w:rsid w:val="00B6180C"/>
    <w:rsid w:val="00B61858"/>
    <w:rsid w:val="00B61BBA"/>
    <w:rsid w:val="00B6452A"/>
    <w:rsid w:val="00B67C86"/>
    <w:rsid w:val="00B73629"/>
    <w:rsid w:val="00B74AC7"/>
    <w:rsid w:val="00B7767A"/>
    <w:rsid w:val="00B814F9"/>
    <w:rsid w:val="00B84FCD"/>
    <w:rsid w:val="00B850B0"/>
    <w:rsid w:val="00B85422"/>
    <w:rsid w:val="00B85E9D"/>
    <w:rsid w:val="00B8736A"/>
    <w:rsid w:val="00B920C1"/>
    <w:rsid w:val="00B96C77"/>
    <w:rsid w:val="00B97BCC"/>
    <w:rsid w:val="00BA0E09"/>
    <w:rsid w:val="00BA37B4"/>
    <w:rsid w:val="00BA3AF0"/>
    <w:rsid w:val="00BA5483"/>
    <w:rsid w:val="00BB0A69"/>
    <w:rsid w:val="00BB0E6F"/>
    <w:rsid w:val="00BB19F0"/>
    <w:rsid w:val="00BB523E"/>
    <w:rsid w:val="00BC15C5"/>
    <w:rsid w:val="00BC1FF8"/>
    <w:rsid w:val="00BC35A5"/>
    <w:rsid w:val="00BC4D9E"/>
    <w:rsid w:val="00BC6D59"/>
    <w:rsid w:val="00BC77E4"/>
    <w:rsid w:val="00BD0773"/>
    <w:rsid w:val="00BD21FE"/>
    <w:rsid w:val="00BD40B4"/>
    <w:rsid w:val="00BD49CA"/>
    <w:rsid w:val="00BD60F7"/>
    <w:rsid w:val="00BD74D4"/>
    <w:rsid w:val="00BD78FC"/>
    <w:rsid w:val="00BE0495"/>
    <w:rsid w:val="00BE0D70"/>
    <w:rsid w:val="00BE120F"/>
    <w:rsid w:val="00BE21D0"/>
    <w:rsid w:val="00BE2C87"/>
    <w:rsid w:val="00BE5863"/>
    <w:rsid w:val="00BE7D6C"/>
    <w:rsid w:val="00BF010D"/>
    <w:rsid w:val="00BF0967"/>
    <w:rsid w:val="00BF2FB6"/>
    <w:rsid w:val="00BF51B4"/>
    <w:rsid w:val="00C01D93"/>
    <w:rsid w:val="00C03666"/>
    <w:rsid w:val="00C0541D"/>
    <w:rsid w:val="00C05F3B"/>
    <w:rsid w:val="00C05FE8"/>
    <w:rsid w:val="00C067D2"/>
    <w:rsid w:val="00C106D7"/>
    <w:rsid w:val="00C109D0"/>
    <w:rsid w:val="00C10E57"/>
    <w:rsid w:val="00C16546"/>
    <w:rsid w:val="00C20228"/>
    <w:rsid w:val="00C221FB"/>
    <w:rsid w:val="00C2595C"/>
    <w:rsid w:val="00C25D3D"/>
    <w:rsid w:val="00C25DD5"/>
    <w:rsid w:val="00C26E55"/>
    <w:rsid w:val="00C26FDF"/>
    <w:rsid w:val="00C300EA"/>
    <w:rsid w:val="00C30612"/>
    <w:rsid w:val="00C32EFA"/>
    <w:rsid w:val="00C34B70"/>
    <w:rsid w:val="00C367C5"/>
    <w:rsid w:val="00C36AFA"/>
    <w:rsid w:val="00C37884"/>
    <w:rsid w:val="00C409E6"/>
    <w:rsid w:val="00C41A23"/>
    <w:rsid w:val="00C41FBF"/>
    <w:rsid w:val="00C4406B"/>
    <w:rsid w:val="00C44EC8"/>
    <w:rsid w:val="00C4583C"/>
    <w:rsid w:val="00C47402"/>
    <w:rsid w:val="00C5034B"/>
    <w:rsid w:val="00C51A9A"/>
    <w:rsid w:val="00C527D8"/>
    <w:rsid w:val="00C52E4C"/>
    <w:rsid w:val="00C535F9"/>
    <w:rsid w:val="00C54187"/>
    <w:rsid w:val="00C57F90"/>
    <w:rsid w:val="00C6096B"/>
    <w:rsid w:val="00C62B90"/>
    <w:rsid w:val="00C62CB4"/>
    <w:rsid w:val="00C6658D"/>
    <w:rsid w:val="00C674E1"/>
    <w:rsid w:val="00C7035B"/>
    <w:rsid w:val="00C72668"/>
    <w:rsid w:val="00C7617A"/>
    <w:rsid w:val="00C76E7A"/>
    <w:rsid w:val="00C7731A"/>
    <w:rsid w:val="00C8103F"/>
    <w:rsid w:val="00C84AA0"/>
    <w:rsid w:val="00C852BC"/>
    <w:rsid w:val="00C900F0"/>
    <w:rsid w:val="00C93791"/>
    <w:rsid w:val="00C93CDD"/>
    <w:rsid w:val="00C94A9A"/>
    <w:rsid w:val="00C97C72"/>
    <w:rsid w:val="00CA1038"/>
    <w:rsid w:val="00CA1E00"/>
    <w:rsid w:val="00CA2948"/>
    <w:rsid w:val="00CA2BB3"/>
    <w:rsid w:val="00CA45C7"/>
    <w:rsid w:val="00CB0411"/>
    <w:rsid w:val="00CB0A56"/>
    <w:rsid w:val="00CB150A"/>
    <w:rsid w:val="00CB1C16"/>
    <w:rsid w:val="00CC08C8"/>
    <w:rsid w:val="00CC0A6E"/>
    <w:rsid w:val="00CC0DA1"/>
    <w:rsid w:val="00CC2148"/>
    <w:rsid w:val="00CC3876"/>
    <w:rsid w:val="00CD0603"/>
    <w:rsid w:val="00CD0BBA"/>
    <w:rsid w:val="00CD2475"/>
    <w:rsid w:val="00CD2700"/>
    <w:rsid w:val="00CD4BC7"/>
    <w:rsid w:val="00CD4E07"/>
    <w:rsid w:val="00CD6A0A"/>
    <w:rsid w:val="00CD7C9D"/>
    <w:rsid w:val="00CE3D59"/>
    <w:rsid w:val="00CE79D6"/>
    <w:rsid w:val="00CF1639"/>
    <w:rsid w:val="00CF3D0F"/>
    <w:rsid w:val="00CF71AC"/>
    <w:rsid w:val="00CF7387"/>
    <w:rsid w:val="00D0022C"/>
    <w:rsid w:val="00D01BCB"/>
    <w:rsid w:val="00D025CD"/>
    <w:rsid w:val="00D0365E"/>
    <w:rsid w:val="00D03F65"/>
    <w:rsid w:val="00D05BD5"/>
    <w:rsid w:val="00D06273"/>
    <w:rsid w:val="00D06A77"/>
    <w:rsid w:val="00D116FE"/>
    <w:rsid w:val="00D13304"/>
    <w:rsid w:val="00D14C01"/>
    <w:rsid w:val="00D1512B"/>
    <w:rsid w:val="00D16A4B"/>
    <w:rsid w:val="00D173A8"/>
    <w:rsid w:val="00D21067"/>
    <w:rsid w:val="00D2122C"/>
    <w:rsid w:val="00D213CC"/>
    <w:rsid w:val="00D22657"/>
    <w:rsid w:val="00D22ED6"/>
    <w:rsid w:val="00D245B0"/>
    <w:rsid w:val="00D25E2F"/>
    <w:rsid w:val="00D2686A"/>
    <w:rsid w:val="00D27102"/>
    <w:rsid w:val="00D3021F"/>
    <w:rsid w:val="00D30FC6"/>
    <w:rsid w:val="00D33114"/>
    <w:rsid w:val="00D3506A"/>
    <w:rsid w:val="00D35BDF"/>
    <w:rsid w:val="00D37FCF"/>
    <w:rsid w:val="00D40270"/>
    <w:rsid w:val="00D434ED"/>
    <w:rsid w:val="00D47C6F"/>
    <w:rsid w:val="00D502AA"/>
    <w:rsid w:val="00D5120B"/>
    <w:rsid w:val="00D522D2"/>
    <w:rsid w:val="00D53F04"/>
    <w:rsid w:val="00D5743C"/>
    <w:rsid w:val="00D57451"/>
    <w:rsid w:val="00D57693"/>
    <w:rsid w:val="00D60456"/>
    <w:rsid w:val="00D62A48"/>
    <w:rsid w:val="00D63F0E"/>
    <w:rsid w:val="00D65907"/>
    <w:rsid w:val="00D668BF"/>
    <w:rsid w:val="00D66C8B"/>
    <w:rsid w:val="00D67890"/>
    <w:rsid w:val="00D6792D"/>
    <w:rsid w:val="00D67F00"/>
    <w:rsid w:val="00D701AF"/>
    <w:rsid w:val="00D721C8"/>
    <w:rsid w:val="00D7288D"/>
    <w:rsid w:val="00D7305B"/>
    <w:rsid w:val="00D737D0"/>
    <w:rsid w:val="00D76794"/>
    <w:rsid w:val="00D802B0"/>
    <w:rsid w:val="00D80C38"/>
    <w:rsid w:val="00D82F2B"/>
    <w:rsid w:val="00D83F07"/>
    <w:rsid w:val="00D846E9"/>
    <w:rsid w:val="00D86497"/>
    <w:rsid w:val="00D871E6"/>
    <w:rsid w:val="00D8786C"/>
    <w:rsid w:val="00D910B6"/>
    <w:rsid w:val="00D92159"/>
    <w:rsid w:val="00D96A16"/>
    <w:rsid w:val="00D96F03"/>
    <w:rsid w:val="00D974A0"/>
    <w:rsid w:val="00DA274B"/>
    <w:rsid w:val="00DA2858"/>
    <w:rsid w:val="00DA4A69"/>
    <w:rsid w:val="00DA551C"/>
    <w:rsid w:val="00DA62C0"/>
    <w:rsid w:val="00DA71EB"/>
    <w:rsid w:val="00DB0796"/>
    <w:rsid w:val="00DB117E"/>
    <w:rsid w:val="00DB3487"/>
    <w:rsid w:val="00DB4CD3"/>
    <w:rsid w:val="00DB5D0C"/>
    <w:rsid w:val="00DB608B"/>
    <w:rsid w:val="00DC046E"/>
    <w:rsid w:val="00DC0AA1"/>
    <w:rsid w:val="00DC1C0A"/>
    <w:rsid w:val="00DC231E"/>
    <w:rsid w:val="00DC2B71"/>
    <w:rsid w:val="00DD12DA"/>
    <w:rsid w:val="00DD2453"/>
    <w:rsid w:val="00DD30D4"/>
    <w:rsid w:val="00DD5517"/>
    <w:rsid w:val="00DD5B7E"/>
    <w:rsid w:val="00DE0E30"/>
    <w:rsid w:val="00DE25C6"/>
    <w:rsid w:val="00DE5381"/>
    <w:rsid w:val="00DE665E"/>
    <w:rsid w:val="00DE69FA"/>
    <w:rsid w:val="00DF0BDD"/>
    <w:rsid w:val="00DF1B86"/>
    <w:rsid w:val="00DF311C"/>
    <w:rsid w:val="00DF37FF"/>
    <w:rsid w:val="00DF5F64"/>
    <w:rsid w:val="00DF726A"/>
    <w:rsid w:val="00E04E02"/>
    <w:rsid w:val="00E0512C"/>
    <w:rsid w:val="00E11130"/>
    <w:rsid w:val="00E12E58"/>
    <w:rsid w:val="00E13884"/>
    <w:rsid w:val="00E13EEA"/>
    <w:rsid w:val="00E15A3A"/>
    <w:rsid w:val="00E20397"/>
    <w:rsid w:val="00E23A11"/>
    <w:rsid w:val="00E30F30"/>
    <w:rsid w:val="00E32C2D"/>
    <w:rsid w:val="00E335B3"/>
    <w:rsid w:val="00E33BF6"/>
    <w:rsid w:val="00E359C8"/>
    <w:rsid w:val="00E35F16"/>
    <w:rsid w:val="00E35FF8"/>
    <w:rsid w:val="00E3623F"/>
    <w:rsid w:val="00E40120"/>
    <w:rsid w:val="00E4052F"/>
    <w:rsid w:val="00E41A92"/>
    <w:rsid w:val="00E43160"/>
    <w:rsid w:val="00E43315"/>
    <w:rsid w:val="00E458DD"/>
    <w:rsid w:val="00E46108"/>
    <w:rsid w:val="00E461EC"/>
    <w:rsid w:val="00E46F24"/>
    <w:rsid w:val="00E50644"/>
    <w:rsid w:val="00E50C61"/>
    <w:rsid w:val="00E52441"/>
    <w:rsid w:val="00E53BF3"/>
    <w:rsid w:val="00E54C70"/>
    <w:rsid w:val="00E56E20"/>
    <w:rsid w:val="00E64B1B"/>
    <w:rsid w:val="00E657FA"/>
    <w:rsid w:val="00E65FD6"/>
    <w:rsid w:val="00E66A38"/>
    <w:rsid w:val="00E70074"/>
    <w:rsid w:val="00E70C0B"/>
    <w:rsid w:val="00E71DEA"/>
    <w:rsid w:val="00E72763"/>
    <w:rsid w:val="00E72EFF"/>
    <w:rsid w:val="00E73587"/>
    <w:rsid w:val="00E7428D"/>
    <w:rsid w:val="00E74ED5"/>
    <w:rsid w:val="00E76D71"/>
    <w:rsid w:val="00E76EE8"/>
    <w:rsid w:val="00E776CC"/>
    <w:rsid w:val="00E806D3"/>
    <w:rsid w:val="00E80CC0"/>
    <w:rsid w:val="00E84401"/>
    <w:rsid w:val="00E84905"/>
    <w:rsid w:val="00E87347"/>
    <w:rsid w:val="00E90C3C"/>
    <w:rsid w:val="00E90D4B"/>
    <w:rsid w:val="00E926DE"/>
    <w:rsid w:val="00E93014"/>
    <w:rsid w:val="00E9687E"/>
    <w:rsid w:val="00EA3676"/>
    <w:rsid w:val="00EA4447"/>
    <w:rsid w:val="00EA490F"/>
    <w:rsid w:val="00EA559C"/>
    <w:rsid w:val="00EA57B0"/>
    <w:rsid w:val="00EA5C84"/>
    <w:rsid w:val="00EA5D74"/>
    <w:rsid w:val="00EA7DE1"/>
    <w:rsid w:val="00EB27DF"/>
    <w:rsid w:val="00EB32AE"/>
    <w:rsid w:val="00EB4A18"/>
    <w:rsid w:val="00EB5E8B"/>
    <w:rsid w:val="00EB6310"/>
    <w:rsid w:val="00EC3972"/>
    <w:rsid w:val="00EC6C2A"/>
    <w:rsid w:val="00EC7C8F"/>
    <w:rsid w:val="00ED1B69"/>
    <w:rsid w:val="00ED465E"/>
    <w:rsid w:val="00ED6281"/>
    <w:rsid w:val="00ED72AD"/>
    <w:rsid w:val="00ED77C9"/>
    <w:rsid w:val="00EE1D5E"/>
    <w:rsid w:val="00EE1DE9"/>
    <w:rsid w:val="00EE320B"/>
    <w:rsid w:val="00EE4485"/>
    <w:rsid w:val="00EE485B"/>
    <w:rsid w:val="00EE5CDF"/>
    <w:rsid w:val="00EE7C90"/>
    <w:rsid w:val="00EF410E"/>
    <w:rsid w:val="00EF5430"/>
    <w:rsid w:val="00EF5603"/>
    <w:rsid w:val="00EF5D05"/>
    <w:rsid w:val="00EF6A92"/>
    <w:rsid w:val="00EF6B25"/>
    <w:rsid w:val="00EF6B60"/>
    <w:rsid w:val="00EF6DAE"/>
    <w:rsid w:val="00F004B4"/>
    <w:rsid w:val="00F00D90"/>
    <w:rsid w:val="00F0462A"/>
    <w:rsid w:val="00F048B5"/>
    <w:rsid w:val="00F0565E"/>
    <w:rsid w:val="00F05AFE"/>
    <w:rsid w:val="00F10C4E"/>
    <w:rsid w:val="00F11032"/>
    <w:rsid w:val="00F1570A"/>
    <w:rsid w:val="00F20662"/>
    <w:rsid w:val="00F21007"/>
    <w:rsid w:val="00F21E61"/>
    <w:rsid w:val="00F25CC9"/>
    <w:rsid w:val="00F31689"/>
    <w:rsid w:val="00F32AC4"/>
    <w:rsid w:val="00F35CA3"/>
    <w:rsid w:val="00F36B3F"/>
    <w:rsid w:val="00F42B5E"/>
    <w:rsid w:val="00F430A1"/>
    <w:rsid w:val="00F44F6D"/>
    <w:rsid w:val="00F565AD"/>
    <w:rsid w:val="00F604C2"/>
    <w:rsid w:val="00F632FC"/>
    <w:rsid w:val="00F67733"/>
    <w:rsid w:val="00F702C1"/>
    <w:rsid w:val="00F735F2"/>
    <w:rsid w:val="00F772C2"/>
    <w:rsid w:val="00F801E8"/>
    <w:rsid w:val="00F80FA2"/>
    <w:rsid w:val="00F815F0"/>
    <w:rsid w:val="00F82A8A"/>
    <w:rsid w:val="00F82DD2"/>
    <w:rsid w:val="00F83202"/>
    <w:rsid w:val="00F83BDF"/>
    <w:rsid w:val="00F84701"/>
    <w:rsid w:val="00F84AD2"/>
    <w:rsid w:val="00F84C33"/>
    <w:rsid w:val="00F84DB2"/>
    <w:rsid w:val="00F853D9"/>
    <w:rsid w:val="00F85478"/>
    <w:rsid w:val="00F86B41"/>
    <w:rsid w:val="00F86E42"/>
    <w:rsid w:val="00F87082"/>
    <w:rsid w:val="00F870C0"/>
    <w:rsid w:val="00F877FA"/>
    <w:rsid w:val="00F90E97"/>
    <w:rsid w:val="00F90F07"/>
    <w:rsid w:val="00F9190D"/>
    <w:rsid w:val="00F91E77"/>
    <w:rsid w:val="00F926ED"/>
    <w:rsid w:val="00F92E01"/>
    <w:rsid w:val="00F935DC"/>
    <w:rsid w:val="00F94FE5"/>
    <w:rsid w:val="00F95101"/>
    <w:rsid w:val="00F95972"/>
    <w:rsid w:val="00F973BF"/>
    <w:rsid w:val="00FA0ABE"/>
    <w:rsid w:val="00FA114C"/>
    <w:rsid w:val="00FA3388"/>
    <w:rsid w:val="00FA44FA"/>
    <w:rsid w:val="00FA536E"/>
    <w:rsid w:val="00FA53E7"/>
    <w:rsid w:val="00FA5972"/>
    <w:rsid w:val="00FB213F"/>
    <w:rsid w:val="00FB4185"/>
    <w:rsid w:val="00FB4923"/>
    <w:rsid w:val="00FB51F4"/>
    <w:rsid w:val="00FC2782"/>
    <w:rsid w:val="00FC50E6"/>
    <w:rsid w:val="00FC56FA"/>
    <w:rsid w:val="00FC6086"/>
    <w:rsid w:val="00FC7064"/>
    <w:rsid w:val="00FD0080"/>
    <w:rsid w:val="00FD0081"/>
    <w:rsid w:val="00FD08C9"/>
    <w:rsid w:val="00FD0E4D"/>
    <w:rsid w:val="00FD5689"/>
    <w:rsid w:val="00FE1822"/>
    <w:rsid w:val="00FE2052"/>
    <w:rsid w:val="00FE3D13"/>
    <w:rsid w:val="00FE49E6"/>
    <w:rsid w:val="00FE4D6F"/>
    <w:rsid w:val="00FE5BD4"/>
    <w:rsid w:val="00FF3FFC"/>
    <w:rsid w:val="00FF6CFD"/>
    <w:rsid w:val="0A267481"/>
    <w:rsid w:val="131335E0"/>
    <w:rsid w:val="1C131386"/>
    <w:rsid w:val="27E079F4"/>
    <w:rsid w:val="2BCD2D9D"/>
    <w:rsid w:val="2C805891"/>
    <w:rsid w:val="306804C2"/>
    <w:rsid w:val="3300279C"/>
    <w:rsid w:val="370F614B"/>
    <w:rsid w:val="3832138F"/>
    <w:rsid w:val="3C2331B0"/>
    <w:rsid w:val="42AC7FA1"/>
    <w:rsid w:val="42B30AD0"/>
    <w:rsid w:val="43EE6058"/>
    <w:rsid w:val="4D29098A"/>
    <w:rsid w:val="4D7343CA"/>
    <w:rsid w:val="4F910743"/>
    <w:rsid w:val="5321145B"/>
    <w:rsid w:val="544E2708"/>
    <w:rsid w:val="5A6041B1"/>
    <w:rsid w:val="60EA39FE"/>
    <w:rsid w:val="61BA3D41"/>
    <w:rsid w:val="65712687"/>
    <w:rsid w:val="69FD06DC"/>
    <w:rsid w:val="6BD77512"/>
    <w:rsid w:val="71315CA3"/>
    <w:rsid w:val="7799389C"/>
    <w:rsid w:val="784426AC"/>
    <w:rsid w:val="7BE843E7"/>
    <w:rsid w:val="7DFA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 stroke="f">
      <v:fill color="white"/>
      <v:stroke on="f"/>
      <v:shadow on="t" color="silver" opacity="5242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3E4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3E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2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23E46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123E4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123E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23E4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23E46"/>
    <w:rPr>
      <w:sz w:val="18"/>
      <w:szCs w:val="18"/>
    </w:rPr>
  </w:style>
  <w:style w:type="paragraph" w:styleId="a9">
    <w:name w:val="List Paragraph"/>
    <w:basedOn w:val="a"/>
    <w:uiPriority w:val="34"/>
    <w:qFormat/>
    <w:rsid w:val="00123E46"/>
    <w:pPr>
      <w:ind w:firstLineChars="200" w:firstLine="420"/>
    </w:pPr>
  </w:style>
  <w:style w:type="paragraph" w:styleId="aa">
    <w:name w:val="No Spacing"/>
    <w:link w:val="Char4"/>
    <w:uiPriority w:val="1"/>
    <w:qFormat/>
    <w:rsid w:val="00123E46"/>
    <w:rPr>
      <w:sz w:val="22"/>
      <w:szCs w:val="22"/>
    </w:rPr>
  </w:style>
  <w:style w:type="character" w:customStyle="1" w:styleId="Char4">
    <w:name w:val="无间隔 Char"/>
    <w:basedOn w:val="a0"/>
    <w:link w:val="aa"/>
    <w:uiPriority w:val="1"/>
    <w:qFormat/>
    <w:rsid w:val="00123E46"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123E46"/>
    <w:rPr>
      <w:kern w:val="2"/>
      <w:sz w:val="21"/>
      <w:szCs w:val="22"/>
    </w:rPr>
  </w:style>
  <w:style w:type="character" w:customStyle="1" w:styleId="Char3">
    <w:name w:val="脚注文本 Char"/>
    <w:basedOn w:val="a0"/>
    <w:link w:val="a7"/>
    <w:uiPriority w:val="99"/>
    <w:semiHidden/>
    <w:rsid w:val="00123E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1350808844623712"/>
          <c:y val="6.8617193019729794E-2"/>
          <c:w val="0.66681059332764803"/>
          <c:h val="0.8253080406251316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2017年前三季度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1245715021670944E-17"/>
                  <c:y val="2.90943835921913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118958692974205E-3"/>
                  <c:y val="1.966642496697659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18958692974205E-3"/>
                  <c:y val="2.902016615043099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03126837835220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</c:v>
                </c:pt>
                <c:pt idx="1">
                  <c:v>852</c:v>
                </c:pt>
                <c:pt idx="2">
                  <c:v>799</c:v>
                </c:pt>
                <c:pt idx="3">
                  <c:v>130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2018年前三季度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2.975715652365880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118958692974205E-3"/>
                  <c:y val="2.434329555870396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902016615043099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498955437524930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52</c:v>
                </c:pt>
                <c:pt idx="1">
                  <c:v>668</c:v>
                </c:pt>
                <c:pt idx="2">
                  <c:v>611</c:v>
                </c:pt>
                <c:pt idx="3">
                  <c:v>109</c:v>
                </c:pt>
              </c:numCache>
            </c:numRef>
          </c:val>
        </c:ser>
        <c:dLbls>
          <c:showVal val="1"/>
        </c:dLbls>
        <c:axId val="42382464"/>
        <c:axId val="42402560"/>
      </c:barChart>
      <c:catAx>
        <c:axId val="42382464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2402560"/>
        <c:crosses val="autoZero"/>
        <c:auto val="1"/>
        <c:lblAlgn val="ctr"/>
        <c:lblOffset val="100"/>
      </c:catAx>
      <c:valAx>
        <c:axId val="42402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23824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3.3447024036375408E-2"/>
                  <c:y val="-4.128397850092415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12530183488382E-2"/>
                  <c:y val="-6.1579158478892899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61</c:v>
                </c:pt>
                <c:pt idx="1">
                  <c:v>53</c:v>
                </c:pt>
                <c:pt idx="2">
                  <c:v>42</c:v>
                </c:pt>
                <c:pt idx="3">
                  <c:v>61</c:v>
                </c:pt>
                <c:pt idx="4">
                  <c:v>76</c:v>
                </c:pt>
                <c:pt idx="5">
                  <c:v>42</c:v>
                </c:pt>
                <c:pt idx="6">
                  <c:v>52</c:v>
                </c:pt>
                <c:pt idx="7">
                  <c:v>78</c:v>
                </c:pt>
                <c:pt idx="8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3.6107885137121341E-2"/>
                  <c:y val="-8.04872553056505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6107885137121404E-2"/>
                  <c:y val="-7.3722187982577084E-2"/>
                </c:manualLayout>
              </c:layout>
              <c:dLblPos val="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32</c:v>
                </c:pt>
                <c:pt idx="1">
                  <c:v>53</c:v>
                </c:pt>
                <c:pt idx="2">
                  <c:v>37</c:v>
                </c:pt>
                <c:pt idx="3">
                  <c:v>56</c:v>
                </c:pt>
                <c:pt idx="4">
                  <c:v>63</c:v>
                </c:pt>
                <c:pt idx="5">
                  <c:v>55</c:v>
                </c:pt>
                <c:pt idx="6">
                  <c:v>44</c:v>
                </c:pt>
                <c:pt idx="7">
                  <c:v>66</c:v>
                </c:pt>
                <c:pt idx="8">
                  <c:v>63</c:v>
                </c:pt>
              </c:numCache>
            </c:numRef>
          </c:val>
        </c:ser>
        <c:dLbls>
          <c:showVal val="1"/>
        </c:dLbls>
        <c:marker val="1"/>
        <c:axId val="89833472"/>
        <c:axId val="89836160"/>
      </c:lineChart>
      <c:catAx>
        <c:axId val="8983347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836160"/>
        <c:crosses val="autoZero"/>
        <c:auto val="1"/>
        <c:lblAlgn val="ctr"/>
        <c:lblOffset val="100"/>
      </c:catAx>
      <c:valAx>
        <c:axId val="89836160"/>
        <c:scaling>
          <c:orientation val="minMax"/>
        </c:scaling>
        <c:axPos val="l"/>
        <c:majorGridlines/>
        <c:numFmt formatCode="General" sourceLinked="1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83347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4271206763372064E-2"/>
                  <c:y val="6.795031960907586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15</c:v>
                </c:pt>
                <c:pt idx="1">
                  <c:v>9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  <c:pt idx="5">
                  <c:v>2</c:v>
                </c:pt>
                <c:pt idx="6">
                  <c:v>10</c:v>
                </c:pt>
                <c:pt idx="7">
                  <c:v>20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6689852656854089E-2"/>
                  <c:y val="-7.937296000187105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9</c:v>
                </c:pt>
                <c:pt idx="8">
                  <c:v>21</c:v>
                </c:pt>
              </c:numCache>
            </c:numRef>
          </c:val>
        </c:ser>
        <c:dLbls>
          <c:showVal val="1"/>
        </c:dLbls>
        <c:marker val="1"/>
        <c:axId val="93887872"/>
        <c:axId val="101635584"/>
      </c:lineChart>
      <c:catAx>
        <c:axId val="9388787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1635584"/>
        <c:crosses val="autoZero"/>
        <c:auto val="1"/>
        <c:lblAlgn val="ctr"/>
        <c:lblOffset val="100"/>
      </c:catAx>
      <c:valAx>
        <c:axId val="10163558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388787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3.6809815950920262E-2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4.8590864917394646E-3"/>
                  <c:y val="4.9079754601227002E-2"/>
                </c:manualLayout>
              </c:layout>
              <c:dLblPos val="t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8</c:v>
                </c:pt>
                <c:pt idx="7">
                  <c:v>6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4.859086491739553E-3"/>
                  <c:y val="-0.14110429447852765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0"/>
                  <c:y val="-0.14723926380368099"/>
                </c:manualLayout>
              </c:layout>
              <c:dLblPos val="b"/>
              <c:showVal val="1"/>
            </c:dLbl>
            <c:dLbl>
              <c:idx val="8"/>
              <c:layout>
                <c:manualLayout>
                  <c:x val="8.908222326311371E-17"/>
                  <c:y val="-4.2944785276073615E-2"/>
                </c:manualLayout>
              </c:layout>
              <c:dLblPos val="b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10</c:v>
                </c:pt>
                <c:pt idx="4">
                  <c:v>7</c:v>
                </c:pt>
                <c:pt idx="5">
                  <c:v>10</c:v>
                </c:pt>
                <c:pt idx="6">
                  <c:v>2</c:v>
                </c:pt>
                <c:pt idx="7">
                  <c:v>4</c:v>
                </c:pt>
                <c:pt idx="8">
                  <c:v>8</c:v>
                </c:pt>
              </c:numCache>
            </c:numRef>
          </c:val>
        </c:ser>
        <c:dLbls>
          <c:showVal val="1"/>
        </c:dLbls>
        <c:marker val="1"/>
        <c:axId val="102217600"/>
        <c:axId val="109199744"/>
      </c:lineChart>
      <c:catAx>
        <c:axId val="102217600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9199744"/>
        <c:crosses val="autoZero"/>
        <c:auto val="1"/>
        <c:lblAlgn val="ctr"/>
        <c:lblOffset val="100"/>
      </c:catAx>
      <c:valAx>
        <c:axId val="10919974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221760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8348545443744606E-2"/>
          <c:y val="9.2603588485865515E-2"/>
          <c:w val="0.71427736563900102"/>
          <c:h val="0.7447859544766686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3.8946579230773604E-2"/>
                  <c:y val="6.42402322336522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</c:v>
                </c:pt>
                <c:pt idx="1">
                  <c:v>25</c:v>
                </c:pt>
                <c:pt idx="2">
                  <c:v>10</c:v>
                </c:pt>
                <c:pt idx="3">
                  <c:v>5</c:v>
                </c:pt>
                <c:pt idx="4">
                  <c:v>13</c:v>
                </c:pt>
                <c:pt idx="5">
                  <c:v>11</c:v>
                </c:pt>
                <c:pt idx="6">
                  <c:v>2</c:v>
                </c:pt>
                <c:pt idx="7">
                  <c:v>24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4844015840028811E-2"/>
                  <c:y val="-7.60301562118510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596151998982765E-2"/>
                  <c:y val="-7.01351942227517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7.0555032925681185E-3"/>
                  <c:y val="-0.11778563015312134"/>
                </c:manualLayout>
              </c:layout>
              <c:dLblPos val="b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8</c:v>
                </c:pt>
                <c:pt idx="1">
                  <c:v>21</c:v>
                </c:pt>
                <c:pt idx="2">
                  <c:v>12</c:v>
                </c:pt>
                <c:pt idx="3">
                  <c:v>12</c:v>
                </c:pt>
                <c:pt idx="4">
                  <c:v>6</c:v>
                </c:pt>
                <c:pt idx="5">
                  <c:v>5</c:v>
                </c:pt>
                <c:pt idx="6">
                  <c:v>12</c:v>
                </c:pt>
                <c:pt idx="7">
                  <c:v>24</c:v>
                </c:pt>
                <c:pt idx="8">
                  <c:v>7</c:v>
                </c:pt>
              </c:numCache>
            </c:numRef>
          </c:val>
        </c:ser>
        <c:dLbls>
          <c:showVal val="1"/>
        </c:dLbls>
        <c:marker val="1"/>
        <c:axId val="123157504"/>
        <c:axId val="123285888"/>
      </c:lineChart>
      <c:catAx>
        <c:axId val="123157504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285888"/>
        <c:crosses val="autoZero"/>
        <c:auto val="1"/>
        <c:lblAlgn val="ctr"/>
        <c:lblOffset val="100"/>
      </c:catAx>
      <c:valAx>
        <c:axId val="12328588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15750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1.4360313069901402E-2"/>
                  <c:y val="3.656219912785381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18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-2.6327240628152653E-2"/>
                  <c:y val="-3.13390278238749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14</c:v>
                </c:pt>
                <c:pt idx="5">
                  <c:v>9</c:v>
                </c:pt>
                <c:pt idx="6">
                  <c:v>6</c:v>
                </c:pt>
                <c:pt idx="7">
                  <c:v>9</c:v>
                </c:pt>
                <c:pt idx="8">
                  <c:v>4</c:v>
                </c:pt>
              </c:numCache>
            </c:numRef>
          </c:val>
        </c:ser>
        <c:dLbls>
          <c:showVal val="1"/>
        </c:dLbls>
        <c:marker val="1"/>
        <c:axId val="123340672"/>
        <c:axId val="123458304"/>
      </c:lineChart>
      <c:catAx>
        <c:axId val="12334067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458304"/>
        <c:crosses val="autoZero"/>
        <c:auto val="1"/>
        <c:lblAlgn val="ctr"/>
        <c:lblOffset val="100"/>
      </c:catAx>
      <c:valAx>
        <c:axId val="12345830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34067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2.3586629807525877E-2"/>
                  <c:y val="7.14385172833381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1431613764472E-2"/>
                  <c:y val="7.865636617113581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946579230773604E-2"/>
                  <c:y val="8.58742150589334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19</c:v>
                </c:pt>
                <c:pt idx="1">
                  <c:v>7</c:v>
                </c:pt>
                <c:pt idx="2">
                  <c:v>10</c:v>
                </c:pt>
                <c:pt idx="3">
                  <c:v>22</c:v>
                </c:pt>
                <c:pt idx="4">
                  <c:v>19</c:v>
                </c:pt>
                <c:pt idx="5">
                  <c:v>8</c:v>
                </c:pt>
                <c:pt idx="6">
                  <c:v>15</c:v>
                </c:pt>
                <c:pt idx="7">
                  <c:v>15</c:v>
                </c:pt>
                <c:pt idx="8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1.888577534394445E-2"/>
                  <c:y val="-3.53492728443497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544870303610402E-2"/>
                  <c:y val="-7.865636617113581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596151998982765E-2"/>
                  <c:y val="-8.58742150589334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49358860823801E-2"/>
                  <c:y val="-5.700281950774282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11</c:v>
                </c:pt>
                <c:pt idx="3">
                  <c:v>14</c:v>
                </c:pt>
                <c:pt idx="4">
                  <c:v>20</c:v>
                </c:pt>
                <c:pt idx="5">
                  <c:v>13</c:v>
                </c:pt>
                <c:pt idx="6">
                  <c:v>11</c:v>
                </c:pt>
                <c:pt idx="7">
                  <c:v>14</c:v>
                </c:pt>
                <c:pt idx="8">
                  <c:v>15</c:v>
                </c:pt>
              </c:numCache>
            </c:numRef>
          </c:val>
        </c:ser>
        <c:dLbls>
          <c:showVal val="1"/>
        </c:dLbls>
        <c:marker val="1"/>
        <c:axId val="123707776"/>
        <c:axId val="123709312"/>
      </c:lineChart>
      <c:catAx>
        <c:axId val="123707776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709312"/>
        <c:crosses val="autoZero"/>
        <c:auto val="1"/>
        <c:lblAlgn val="ctr"/>
        <c:lblOffset val="100"/>
      </c:catAx>
      <c:valAx>
        <c:axId val="123709312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707776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3451029653161489E-2"/>
          <c:y val="4.9909226137807024E-2"/>
          <c:w val="0.75994172075114663"/>
          <c:h val="0.8169894380203366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7363182471705653E-2"/>
                  <c:y val="-7.49690356953498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10</c:v>
                </c:pt>
                <c:pt idx="1">
                  <c:v>3</c:v>
                </c:pt>
                <c:pt idx="2">
                  <c:v>5</c:v>
                </c:pt>
                <c:pt idx="3">
                  <c:v>17</c:v>
                </c:pt>
                <c:pt idx="4">
                  <c:v>11</c:v>
                </c:pt>
                <c:pt idx="5">
                  <c:v>7</c:v>
                </c:pt>
                <c:pt idx="6">
                  <c:v>10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审结案件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3.8308670918517418E-2"/>
                  <c:y val="5.452239840810202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Sheet1!$A$2:$A$10</c:f>
              <c:strCache>
                <c:ptCount val="9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  <c:pt idx="4">
                  <c:v>11</c:v>
                </c:pt>
                <c:pt idx="5">
                  <c:v>16</c:v>
                </c:pt>
                <c:pt idx="6">
                  <c:v>8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</c:ser>
        <c:dLbls>
          <c:showVal val="1"/>
        </c:dLbls>
        <c:marker val="1"/>
        <c:axId val="123836672"/>
        <c:axId val="123863424"/>
      </c:lineChart>
      <c:catAx>
        <c:axId val="12383667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863424"/>
        <c:crosses val="autoZero"/>
        <c:auto val="1"/>
        <c:lblAlgn val="ctr"/>
        <c:lblOffset val="100"/>
      </c:catAx>
      <c:valAx>
        <c:axId val="123863424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83667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各院未结案件占两级法院比例情况</c:v>
                </c:pt>
              </c:strCache>
            </c:strRef>
          </c:tx>
          <c:dLbls>
            <c:dLblPos val="outEnd"/>
            <c:showVal val="1"/>
            <c:showCatName val="1"/>
          </c:dLbls>
          <c:cat>
            <c:strRef>
              <c:f>Sheet1!$A$2:$A$7</c:f>
              <c:strCache>
                <c:ptCount val="6"/>
                <c:pt idx="0">
                  <c:v>红石院</c:v>
                </c:pt>
                <c:pt idx="1">
                  <c:v>白石山院</c:v>
                </c:pt>
                <c:pt idx="2">
                  <c:v>中院</c:v>
                </c:pt>
                <c:pt idx="3">
                  <c:v>抚松院</c:v>
                </c:pt>
                <c:pt idx="4">
                  <c:v>临江院</c:v>
                </c:pt>
                <c:pt idx="5">
                  <c:v>江源院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0.15580000000000024</c:v>
                </c:pt>
                <c:pt idx="1">
                  <c:v>0.18180000000000004</c:v>
                </c:pt>
                <c:pt idx="2">
                  <c:v>0.14290000000000033</c:v>
                </c:pt>
                <c:pt idx="3">
                  <c:v>0.33770000000000061</c:v>
                </c:pt>
                <c:pt idx="4">
                  <c:v>6.4900000000000013E-2</c:v>
                </c:pt>
                <c:pt idx="5">
                  <c:v>0.1169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2017年前三季度未结案件</c:v>
                </c:pt>
              </c:strCache>
            </c:strRef>
          </c:tx>
          <c:dLbls>
            <c:dLbl>
              <c:idx val="0"/>
              <c:layout>
                <c:manualLayout>
                  <c:x val="-9.9099095584199836E-3"/>
                  <c:y val="1.142263525591891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549547792099346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9547792099346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江源院</c:v>
                </c:pt>
                <c:pt idx="2">
                  <c:v>临江院</c:v>
                </c:pt>
                <c:pt idx="3">
                  <c:v>抚松院</c:v>
                </c:pt>
                <c:pt idx="4">
                  <c:v>白石山院</c:v>
                </c:pt>
                <c:pt idx="5">
                  <c:v>红石院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6</c:v>
                </c:pt>
                <c:pt idx="2">
                  <c:v>15</c:v>
                </c:pt>
                <c:pt idx="3">
                  <c:v>8</c:v>
                </c:pt>
                <c:pt idx="4">
                  <c:v>13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2018年前三季度未结案件</c:v>
                </c:pt>
              </c:strCache>
            </c:strRef>
          </c:tx>
          <c:dLbls>
            <c:dLbl>
              <c:idx val="1"/>
              <c:layout>
                <c:manualLayout>
                  <c:x val="-9.909909558420046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9547792099346E-3"/>
                  <c:y val="-1.71339528838781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江源院</c:v>
                </c:pt>
                <c:pt idx="2">
                  <c:v>临江院</c:v>
                </c:pt>
                <c:pt idx="3">
                  <c:v>抚松院</c:v>
                </c:pt>
                <c:pt idx="4">
                  <c:v>白石山院</c:v>
                </c:pt>
                <c:pt idx="5">
                  <c:v>红石院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5</c:v>
                </c:pt>
                <c:pt idx="3">
                  <c:v>26</c:v>
                </c:pt>
                <c:pt idx="4">
                  <c:v>14</c:v>
                </c:pt>
                <c:pt idx="5">
                  <c:v>12</c:v>
                </c:pt>
              </c:numCache>
            </c:numRef>
          </c:val>
        </c:ser>
        <c:dLbls>
          <c:showVal val="1"/>
        </c:dLbls>
        <c:axId val="169245696"/>
        <c:axId val="169260160"/>
      </c:barChart>
      <c:catAx>
        <c:axId val="169245696"/>
        <c:scaling>
          <c:orientation val="minMax"/>
        </c:scaling>
        <c:axPos val="l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9260160"/>
        <c:crosses val="autoZero"/>
        <c:auto val="1"/>
        <c:lblAlgn val="ctr"/>
        <c:lblOffset val="100"/>
      </c:catAx>
      <c:valAx>
        <c:axId val="169260160"/>
        <c:scaling>
          <c:orientation val="minMax"/>
        </c:scaling>
        <c:axPos val="b"/>
        <c:majorGridlines/>
        <c:numFmt formatCode="General" sourceLinked="1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9245696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实际执结率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临江院</c:v>
                </c:pt>
                <c:pt idx="2">
                  <c:v>江源院</c:v>
                </c:pt>
                <c:pt idx="3">
                  <c:v>白石山院</c:v>
                </c:pt>
                <c:pt idx="4">
                  <c:v>抚松院</c:v>
                </c:pt>
                <c:pt idx="5">
                  <c:v>红石院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0.8125</c:v>
                </c:pt>
                <c:pt idx="2">
                  <c:v>0.88229999999999997</c:v>
                </c:pt>
                <c:pt idx="3">
                  <c:v>0.88890000000000002</c:v>
                </c:pt>
                <c:pt idx="4">
                  <c:v>0.56759999999999999</c:v>
                </c:pt>
                <c:pt idx="5">
                  <c:v>0.55170000000000063</c:v>
                </c:pt>
              </c:numCache>
            </c:numRef>
          </c:val>
        </c:ser>
        <c:dLbls>
          <c:showVal val="1"/>
        </c:dLbls>
        <c:axId val="265222784"/>
        <c:axId val="265261056"/>
      </c:barChart>
      <c:catAx>
        <c:axId val="265222784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5261056"/>
        <c:crosses val="autoZero"/>
        <c:auto val="1"/>
        <c:lblAlgn val="ctr"/>
        <c:lblOffset val="100"/>
      </c:catAx>
      <c:valAx>
        <c:axId val="265261056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5222784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470943118626012"/>
          <c:y val="6.6470669494486587E-2"/>
          <c:w val="0.66349550936520862"/>
          <c:h val="0.816807651365568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2017年前三季度</c:v>
                </c:pt>
              </c:strCache>
            </c:strRef>
          </c:tx>
          <c:dLbls>
            <c:dLbl>
              <c:idx val="0"/>
              <c:layout>
                <c:manualLayout>
                  <c:x val="-2.474885389907771E-3"/>
                  <c:y val="9.4965685001884795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415996308197546E-3"/>
                  <c:y val="-8.614555333477720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018124728149884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415996308197546E-3"/>
                  <c:y val="9.8404553818100021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</c:v>
                </c:pt>
                <c:pt idx="1">
                  <c:v>651</c:v>
                </c:pt>
                <c:pt idx="2">
                  <c:v>633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2018年前三季度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1885350381053106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707998154098608E-3"/>
                  <c:y val="-3.815254897648325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05826464098398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110671936759168E-3"/>
                  <c:y val="-8.584583843825986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35</c:v>
                </c:pt>
                <c:pt idx="1">
                  <c:v>519</c:v>
                </c:pt>
                <c:pt idx="2">
                  <c:v>477</c:v>
                </c:pt>
                <c:pt idx="3">
                  <c:v>77</c:v>
                </c:pt>
              </c:numCache>
            </c:numRef>
          </c:val>
        </c:ser>
        <c:dLbls>
          <c:showVal val="1"/>
        </c:dLbls>
        <c:axId val="43978752"/>
        <c:axId val="43982208"/>
      </c:barChart>
      <c:catAx>
        <c:axId val="4397875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982208"/>
        <c:crosses val="autoZero"/>
        <c:auto val="1"/>
        <c:lblAlgn val="ctr"/>
        <c:lblOffset val="100"/>
      </c:catAx>
      <c:valAx>
        <c:axId val="43982208"/>
        <c:scaling>
          <c:orientation val="minMax"/>
        </c:scaling>
        <c:axPos val="l"/>
        <c:majorGridlines/>
        <c:numFmt formatCode="General" sourceLinked="1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97875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执行完毕率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临江院</c:v>
                </c:pt>
                <c:pt idx="2">
                  <c:v>江源院</c:v>
                </c:pt>
                <c:pt idx="3">
                  <c:v>白石山院</c:v>
                </c:pt>
                <c:pt idx="4">
                  <c:v>抚松院</c:v>
                </c:pt>
                <c:pt idx="5">
                  <c:v>红石院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 formatCode="0%">
                  <c:v>1</c:v>
                </c:pt>
                <c:pt idx="1">
                  <c:v>0.46150000000000002</c:v>
                </c:pt>
                <c:pt idx="2">
                  <c:v>0.46660000000000001</c:v>
                </c:pt>
                <c:pt idx="3">
                  <c:v>0.22220000000000001</c:v>
                </c:pt>
                <c:pt idx="4">
                  <c:v>0.37840000000000107</c:v>
                </c:pt>
                <c:pt idx="5">
                  <c:v>0.34480000000000038</c:v>
                </c:pt>
              </c:numCache>
            </c:numRef>
          </c:val>
        </c:ser>
        <c:dLbls>
          <c:showVal val="1"/>
        </c:dLbls>
        <c:axId val="265529600"/>
        <c:axId val="265650560"/>
      </c:barChart>
      <c:catAx>
        <c:axId val="265529600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5650560"/>
        <c:crosses val="autoZero"/>
        <c:auto val="1"/>
        <c:lblAlgn val="ctr"/>
        <c:lblOffset val="100"/>
      </c:catAx>
      <c:valAx>
        <c:axId val="265650560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552960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终本率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临江院</c:v>
                </c:pt>
                <c:pt idx="2">
                  <c:v>江源院</c:v>
                </c:pt>
                <c:pt idx="3">
                  <c:v>白石山院</c:v>
                </c:pt>
                <c:pt idx="4">
                  <c:v>抚松院</c:v>
                </c:pt>
                <c:pt idx="5">
                  <c:v>红石院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 formatCode="0%">
                  <c:v>0</c:v>
                </c:pt>
                <c:pt idx="1">
                  <c:v>7.690000000000001E-2</c:v>
                </c:pt>
                <c:pt idx="2">
                  <c:v>0.2</c:v>
                </c:pt>
                <c:pt idx="3">
                  <c:v>0.22220000000000001</c:v>
                </c:pt>
                <c:pt idx="4">
                  <c:v>0.21620000000000048</c:v>
                </c:pt>
                <c:pt idx="5">
                  <c:v>0.17240000000000041</c:v>
                </c:pt>
              </c:numCache>
            </c:numRef>
          </c:val>
        </c:ser>
        <c:dLbls>
          <c:showVal val="1"/>
        </c:dLbls>
        <c:axId val="265740288"/>
        <c:axId val="265742208"/>
      </c:barChart>
      <c:catAx>
        <c:axId val="265740288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5742208"/>
        <c:crosses val="autoZero"/>
        <c:auto val="1"/>
        <c:lblAlgn val="ctr"/>
        <c:lblOffset val="100"/>
      </c:catAx>
      <c:valAx>
        <c:axId val="265742208"/>
        <c:scaling>
          <c:orientation val="minMax"/>
        </c:scaling>
        <c:axPos val="l"/>
        <c:majorGridlines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5740288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dLbl>
              <c:idx val="3"/>
              <c:layout>
                <c:manualLayout>
                  <c:x val="-4.7250864700125409E-3"/>
                  <c:y val="1.758592959466164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7258305781180355E-3"/>
                  <c:y val="2.638235618915681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2.1973192704900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白石山院</c:v>
                </c:pt>
                <c:pt idx="2">
                  <c:v>红石院</c:v>
                </c:pt>
                <c:pt idx="3">
                  <c:v>临江院</c:v>
                </c:pt>
                <c:pt idx="4">
                  <c:v>抚松院</c:v>
                </c:pt>
                <c:pt idx="5">
                  <c:v>江源院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0.86590000000000134</c:v>
                </c:pt>
                <c:pt idx="1">
                  <c:v>0.78129999999999999</c:v>
                </c:pt>
                <c:pt idx="2">
                  <c:v>0.8992</c:v>
                </c:pt>
                <c:pt idx="3">
                  <c:v>0.92420000000000002</c:v>
                </c:pt>
                <c:pt idx="4">
                  <c:v>0.81940000000000002</c:v>
                </c:pt>
                <c:pt idx="5">
                  <c:v>0.8861</c:v>
                </c:pt>
              </c:numCache>
            </c:numRef>
          </c:val>
        </c:ser>
        <c:dLbls>
          <c:showVal val="1"/>
        </c:dLbls>
        <c:axId val="57488512"/>
        <c:axId val="57495552"/>
      </c:barChart>
      <c:catAx>
        <c:axId val="5748851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7495552"/>
        <c:crosses val="autoZero"/>
        <c:auto val="1"/>
        <c:lblAlgn val="ctr"/>
        <c:lblOffset val="100"/>
      </c:catAx>
      <c:valAx>
        <c:axId val="57495552"/>
        <c:scaling>
          <c:orientation val="minMax"/>
        </c:scaling>
        <c:axPos val="l"/>
        <c:majorGridlines/>
        <c:numFmt formatCode="0.0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74885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平均审理时长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Sheet1!$A$2:$A$8</c:f>
              <c:strCache>
                <c:ptCount val="7"/>
                <c:pt idx="0">
                  <c:v>民事一审</c:v>
                </c:pt>
                <c:pt idx="1">
                  <c:v>民事二审</c:v>
                </c:pt>
                <c:pt idx="2">
                  <c:v>刑事一审</c:v>
                </c:pt>
                <c:pt idx="3">
                  <c:v>刑事二审</c:v>
                </c:pt>
                <c:pt idx="4">
                  <c:v>行政一审</c:v>
                </c:pt>
                <c:pt idx="5">
                  <c:v>行政二审</c:v>
                </c:pt>
                <c:pt idx="6">
                  <c:v>审查监督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32.300000000000004</c:v>
                </c:pt>
                <c:pt idx="1">
                  <c:v>31.1</c:v>
                </c:pt>
                <c:pt idx="2">
                  <c:v>21.8</c:v>
                </c:pt>
                <c:pt idx="3">
                  <c:v>32.6</c:v>
                </c:pt>
                <c:pt idx="4">
                  <c:v>63.4</c:v>
                </c:pt>
                <c:pt idx="5">
                  <c:v>28.4</c:v>
                </c:pt>
                <c:pt idx="6">
                  <c:v>59</c:v>
                </c:pt>
              </c:numCache>
            </c:numRef>
          </c:val>
        </c:ser>
        <c:dLbls>
          <c:showVal val="1"/>
        </c:dLbls>
        <c:axId val="64742912"/>
        <c:axId val="64744448"/>
      </c:barChart>
      <c:catAx>
        <c:axId val="64742912"/>
        <c:scaling>
          <c:orientation val="minMax"/>
        </c:scaling>
        <c:axPos val="b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744448"/>
        <c:crosses val="autoZero"/>
        <c:auto val="1"/>
        <c:lblAlgn val="ctr"/>
        <c:lblOffset val="100"/>
      </c:catAx>
      <c:valAx>
        <c:axId val="64744448"/>
        <c:scaling>
          <c:orientation val="minMax"/>
        </c:scaling>
        <c:axPos val="l"/>
        <c:majorGridlines/>
        <c:numFmt formatCode="General" sourceLinked="1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4742912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各院新收审判类案件占两级法院比例情况</c:v>
                </c:pt>
              </c:strCache>
            </c:strRef>
          </c:tx>
          <c:dLbls>
            <c:dLblPos val="outEnd"/>
            <c:showVal val="1"/>
            <c:showCatName val="1"/>
          </c:dLbls>
          <c:cat>
            <c:strRef>
              <c:f>Sheet1!$A$2:$A$7</c:f>
              <c:strCache>
                <c:ptCount val="6"/>
                <c:pt idx="0">
                  <c:v>红石院</c:v>
                </c:pt>
                <c:pt idx="1">
                  <c:v>抚松院</c:v>
                </c:pt>
                <c:pt idx="2">
                  <c:v>中院</c:v>
                </c:pt>
                <c:pt idx="3">
                  <c:v>白石山院</c:v>
                </c:pt>
                <c:pt idx="4">
                  <c:v>江源院</c:v>
                </c:pt>
                <c:pt idx="5">
                  <c:v>临江院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0.19850000000000001</c:v>
                </c:pt>
                <c:pt idx="1">
                  <c:v>0.2697</c:v>
                </c:pt>
                <c:pt idx="2">
                  <c:v>0.15220000000000034</c:v>
                </c:pt>
                <c:pt idx="3">
                  <c:v>0.11559999999999998</c:v>
                </c:pt>
                <c:pt idx="4">
                  <c:v>0.14640000000000034</c:v>
                </c:pt>
                <c:pt idx="5">
                  <c:v>0.11749999999999998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2018年前三季度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红石院</c:v>
                </c:pt>
                <c:pt idx="1">
                  <c:v>抚松院</c:v>
                </c:pt>
                <c:pt idx="2">
                  <c:v>中院</c:v>
                </c:pt>
                <c:pt idx="3">
                  <c:v>白石山院</c:v>
                </c:pt>
                <c:pt idx="4">
                  <c:v>江源院</c:v>
                </c:pt>
                <c:pt idx="5">
                  <c:v>临江院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103</c:v>
                </c:pt>
                <c:pt idx="1">
                  <c:v>140</c:v>
                </c:pt>
                <c:pt idx="2">
                  <c:v>79</c:v>
                </c:pt>
                <c:pt idx="3">
                  <c:v>60</c:v>
                </c:pt>
                <c:pt idx="4">
                  <c:v>76</c:v>
                </c:pt>
                <c:pt idx="5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2017年前三季度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红石院</c:v>
                </c:pt>
                <c:pt idx="1">
                  <c:v>抚松院</c:v>
                </c:pt>
                <c:pt idx="2">
                  <c:v>中院</c:v>
                </c:pt>
                <c:pt idx="3">
                  <c:v>白石山院</c:v>
                </c:pt>
                <c:pt idx="4">
                  <c:v>江源院</c:v>
                </c:pt>
                <c:pt idx="5">
                  <c:v>临江院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273</c:v>
                </c:pt>
                <c:pt idx="1">
                  <c:v>112</c:v>
                </c:pt>
                <c:pt idx="2">
                  <c:v>62</c:v>
                </c:pt>
                <c:pt idx="3">
                  <c:v>68</c:v>
                </c:pt>
                <c:pt idx="4">
                  <c:v>77</c:v>
                </c:pt>
                <c:pt idx="5">
                  <c:v>59</c:v>
                </c:pt>
              </c:numCache>
            </c:numRef>
          </c:val>
        </c:ser>
        <c:dLbls>
          <c:showVal val="1"/>
        </c:dLbls>
        <c:axId val="71388160"/>
        <c:axId val="71516928"/>
      </c:barChart>
      <c:catAx>
        <c:axId val="71388160"/>
        <c:scaling>
          <c:orientation val="minMax"/>
        </c:scaling>
        <c:axPos val="l"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1516928"/>
        <c:crosses val="autoZero"/>
        <c:auto val="1"/>
        <c:lblAlgn val="ctr"/>
        <c:lblOffset val="100"/>
      </c:catAx>
      <c:valAx>
        <c:axId val="71516928"/>
        <c:scaling>
          <c:orientation val="minMax"/>
        </c:scaling>
        <c:axPos val="b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138816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各院审结案件占两级法院比例情况</c:v>
                </c:pt>
              </c:strCache>
            </c:strRef>
          </c:tx>
          <c:dLbls>
            <c:dLblPos val="outEnd"/>
            <c:showVal val="1"/>
            <c:showCatName val="1"/>
          </c:dLbls>
          <c:cat>
            <c:strRef>
              <c:f>Sheet1!$A$2:$A$7</c:f>
              <c:strCache>
                <c:ptCount val="6"/>
                <c:pt idx="0">
                  <c:v>红石院</c:v>
                </c:pt>
                <c:pt idx="1">
                  <c:v>抚松院</c:v>
                </c:pt>
                <c:pt idx="2">
                  <c:v>中院</c:v>
                </c:pt>
                <c:pt idx="3">
                  <c:v>江源院</c:v>
                </c:pt>
                <c:pt idx="4">
                  <c:v>临江院</c:v>
                </c:pt>
                <c:pt idx="5">
                  <c:v>白石山院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0.2243</c:v>
                </c:pt>
                <c:pt idx="1">
                  <c:v>0.24740000000000037</c:v>
                </c:pt>
                <c:pt idx="2">
                  <c:v>0.14880000000000004</c:v>
                </c:pt>
                <c:pt idx="3">
                  <c:v>0.14680000000000001</c:v>
                </c:pt>
                <c:pt idx="4">
                  <c:v>0.12790000000000001</c:v>
                </c:pt>
                <c:pt idx="5">
                  <c:v>0.1048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2017年前三季度</c:v>
                </c:pt>
              </c:strCache>
            </c:strRef>
          </c:tx>
          <c:dLbls>
            <c:dLbl>
              <c:idx val="1"/>
              <c:layout>
                <c:manualLayout>
                  <c:x val="7.6687116564417221E-3"/>
                  <c:y val="4.530011325028231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江源院</c:v>
                </c:pt>
                <c:pt idx="1">
                  <c:v>抚松院</c:v>
                </c:pt>
                <c:pt idx="2">
                  <c:v>临江院</c:v>
                </c:pt>
                <c:pt idx="3">
                  <c:v>红石院</c:v>
                </c:pt>
                <c:pt idx="4">
                  <c:v>白石山院</c:v>
                </c:pt>
                <c:pt idx="5">
                  <c:v>中院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77</c:v>
                </c:pt>
                <c:pt idx="1">
                  <c:v>120</c:v>
                </c:pt>
                <c:pt idx="2">
                  <c:v>54</c:v>
                </c:pt>
                <c:pt idx="3">
                  <c:v>264</c:v>
                </c:pt>
                <c:pt idx="4">
                  <c:v>64</c:v>
                </c:pt>
                <c:pt idx="5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2018年前三季度</c:v>
                </c:pt>
              </c:strCache>
            </c:strRef>
          </c:tx>
          <c:dLbls>
            <c:dLbl>
              <c:idx val="1"/>
              <c:layout>
                <c:manualLayout>
                  <c:x val="7.6708500650814514E-3"/>
                  <c:y val="4.526749704602919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22780008677522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6708500650814514E-3"/>
                  <c:y val="-4.526749704602919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江源院</c:v>
                </c:pt>
                <c:pt idx="1">
                  <c:v>抚松院</c:v>
                </c:pt>
                <c:pt idx="2">
                  <c:v>临江院</c:v>
                </c:pt>
                <c:pt idx="3">
                  <c:v>红石院</c:v>
                </c:pt>
                <c:pt idx="4">
                  <c:v>白石山院</c:v>
                </c:pt>
                <c:pt idx="5">
                  <c:v>中院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70</c:v>
                </c:pt>
                <c:pt idx="1">
                  <c:v>118</c:v>
                </c:pt>
                <c:pt idx="2">
                  <c:v>61</c:v>
                </c:pt>
                <c:pt idx="3">
                  <c:v>107</c:v>
                </c:pt>
                <c:pt idx="4">
                  <c:v>50</c:v>
                </c:pt>
                <c:pt idx="5">
                  <c:v>71</c:v>
                </c:pt>
              </c:numCache>
            </c:numRef>
          </c:val>
        </c:ser>
        <c:dLbls>
          <c:showVal val="1"/>
        </c:dLbls>
        <c:axId val="71811840"/>
        <c:axId val="71872896"/>
      </c:barChart>
      <c:catAx>
        <c:axId val="71811840"/>
        <c:scaling>
          <c:orientation val="minMax"/>
        </c:scaling>
        <c:axPos val="l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1872896"/>
        <c:crosses val="autoZero"/>
        <c:auto val="1"/>
        <c:lblAlgn val="ctr"/>
        <c:lblOffset val="100"/>
      </c:catAx>
      <c:valAx>
        <c:axId val="71872896"/>
        <c:scaling>
          <c:orientation val="minMax"/>
        </c:scaling>
        <c:axPos val="b"/>
        <c:majorGridlines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1811840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2018年前三季度简易程序适用率</c:v>
                </c:pt>
              </c:strCache>
            </c:strRef>
          </c:tx>
          <c:dLbls>
            <c:dLbl>
              <c:idx val="0"/>
              <c:layout>
                <c:manualLayout>
                  <c:x val="-7.27513252770947E-3"/>
                  <c:y val="8.566980294596323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Sheet1!$A$2:$A$6</c:f>
              <c:strCache>
                <c:ptCount val="5"/>
                <c:pt idx="0">
                  <c:v>白石山院</c:v>
                </c:pt>
                <c:pt idx="1">
                  <c:v>抚松院</c:v>
                </c:pt>
                <c:pt idx="2">
                  <c:v>红石院</c:v>
                </c:pt>
                <c:pt idx="3">
                  <c:v>江源院</c:v>
                </c:pt>
                <c:pt idx="4">
                  <c:v>临江院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0.8085</c:v>
                </c:pt>
                <c:pt idx="1">
                  <c:v>0.8793000000000003</c:v>
                </c:pt>
                <c:pt idx="2">
                  <c:v>0.72380000000000033</c:v>
                </c:pt>
                <c:pt idx="3">
                  <c:v>0.71009999999999995</c:v>
                </c:pt>
                <c:pt idx="4">
                  <c:v>0.82760000000000034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2017年前三季度简易程序适用率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Sheet1!$A$2:$A$6</c:f>
              <c:strCache>
                <c:ptCount val="5"/>
                <c:pt idx="0">
                  <c:v>白石山院</c:v>
                </c:pt>
                <c:pt idx="1">
                  <c:v>抚松院</c:v>
                </c:pt>
                <c:pt idx="2">
                  <c:v>红石院</c:v>
                </c:pt>
                <c:pt idx="3">
                  <c:v>江源院</c:v>
                </c:pt>
                <c:pt idx="4">
                  <c:v>临江院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0.83609999999999995</c:v>
                </c:pt>
                <c:pt idx="1">
                  <c:v>0.8034</c:v>
                </c:pt>
                <c:pt idx="2">
                  <c:v>0.94620000000000004</c:v>
                </c:pt>
                <c:pt idx="3">
                  <c:v>0.61430000000000029</c:v>
                </c:pt>
                <c:pt idx="4">
                  <c:v>0.74510000000000032</c:v>
                </c:pt>
              </c:numCache>
            </c:numRef>
          </c:val>
        </c:ser>
        <c:dLbls>
          <c:showVal val="1"/>
        </c:dLbls>
        <c:axId val="75963776"/>
        <c:axId val="76826112"/>
      </c:barChart>
      <c:catAx>
        <c:axId val="75963776"/>
        <c:scaling>
          <c:orientation val="minMax"/>
        </c:scaling>
        <c:axPos val="l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6826112"/>
        <c:crosses val="autoZero"/>
        <c:auto val="1"/>
        <c:lblAlgn val="ctr"/>
        <c:lblOffset val="100"/>
      </c:catAx>
      <c:valAx>
        <c:axId val="76826112"/>
        <c:scaling>
          <c:orientation val="minMax"/>
        </c:scaling>
        <c:axPos val="b"/>
        <c:majorGridlines/>
        <c:numFmt formatCode="0.00%" sourceLinked="1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5963776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A4E0C354-E1C0-4395-8A7F-A3F1F1C7C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27</Pages>
  <Words>1509</Words>
  <Characters>8606</Characters>
  <Application>Microsoft Office Word</Application>
  <DocSecurity>0</DocSecurity>
  <Lines>71</Lines>
  <Paragraphs>20</Paragraphs>
  <ScaleCrop>false</ScaleCrop>
  <Company>微软中国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1105</cp:revision>
  <cp:lastPrinted>2018-05-10T00:59:00Z</cp:lastPrinted>
  <dcterms:created xsi:type="dcterms:W3CDTF">2018-04-12T00:56:00Z</dcterms:created>
  <dcterms:modified xsi:type="dcterms:W3CDTF">2018-11-05T08:08:00Z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