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54F2" w14:textId="5A1294D6" w:rsidR="00C152C0" w:rsidRPr="00D5433F" w:rsidRDefault="00404236" w:rsidP="00AB6173">
      <w:pPr>
        <w:spacing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5433F">
        <w:rPr>
          <w:rFonts w:ascii="Times New Roman" w:eastAsia="方正小标宋简体" w:hAnsi="Times New Roman" w:cs="Times New Roman"/>
          <w:sz w:val="44"/>
          <w:szCs w:val="44"/>
        </w:rPr>
        <w:t>长春林区两级法院审判工作主要数据通报</w:t>
      </w:r>
    </w:p>
    <w:p w14:paraId="7BCD85BA" w14:textId="77DCADEB" w:rsidR="00404236" w:rsidRDefault="00495FD7" w:rsidP="00AB6173">
      <w:pPr>
        <w:spacing w:line="57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495FD7">
        <w:rPr>
          <w:rFonts w:ascii="楷体" w:eastAsia="楷体" w:hAnsi="楷体" w:cs="Times New Roman" w:hint="eastAsia"/>
          <w:sz w:val="32"/>
          <w:szCs w:val="32"/>
        </w:rPr>
        <w:t>（2022年1月1日-</w:t>
      </w:r>
      <w:r w:rsidR="00B11062">
        <w:rPr>
          <w:rFonts w:ascii="楷体" w:eastAsia="楷体" w:hAnsi="楷体" w:cs="Times New Roman" w:hint="eastAsia"/>
          <w:sz w:val="32"/>
          <w:szCs w:val="32"/>
        </w:rPr>
        <w:t>9</w:t>
      </w:r>
      <w:r w:rsidRPr="00495FD7">
        <w:rPr>
          <w:rFonts w:ascii="楷体" w:eastAsia="楷体" w:hAnsi="楷体" w:cs="Times New Roman" w:hint="eastAsia"/>
          <w:sz w:val="32"/>
          <w:szCs w:val="32"/>
        </w:rPr>
        <w:t>月3</w:t>
      </w:r>
      <w:r w:rsidR="00B11062">
        <w:rPr>
          <w:rFonts w:ascii="楷体" w:eastAsia="楷体" w:hAnsi="楷体" w:cs="Times New Roman" w:hint="eastAsia"/>
          <w:sz w:val="32"/>
          <w:szCs w:val="32"/>
        </w:rPr>
        <w:t>0</w:t>
      </w:r>
      <w:r w:rsidRPr="00495FD7">
        <w:rPr>
          <w:rFonts w:ascii="楷体" w:eastAsia="楷体" w:hAnsi="楷体" w:cs="Times New Roman" w:hint="eastAsia"/>
          <w:sz w:val="32"/>
          <w:szCs w:val="32"/>
        </w:rPr>
        <w:t>日）</w:t>
      </w:r>
    </w:p>
    <w:p w14:paraId="16902B28" w14:textId="77777777" w:rsidR="00495FD7" w:rsidRPr="00495FD7" w:rsidRDefault="00495FD7" w:rsidP="00AB6173">
      <w:pPr>
        <w:spacing w:line="570" w:lineRule="exact"/>
        <w:jc w:val="center"/>
        <w:rPr>
          <w:rFonts w:ascii="楷体" w:eastAsia="楷体" w:hAnsi="楷体" w:cs="Times New Roman"/>
          <w:sz w:val="32"/>
          <w:szCs w:val="32"/>
        </w:rPr>
      </w:pPr>
    </w:p>
    <w:p w14:paraId="33D4574D" w14:textId="77777777" w:rsidR="00404236" w:rsidRPr="00D5433F" w:rsidRDefault="00404236" w:rsidP="00AB6173">
      <w:pPr>
        <w:pStyle w:val="a5"/>
        <w:numPr>
          <w:ilvl w:val="0"/>
          <w:numId w:val="1"/>
        </w:numPr>
        <w:spacing w:line="57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D5433F">
        <w:rPr>
          <w:rFonts w:ascii="Times New Roman" w:eastAsia="黑体" w:hAnsi="Times New Roman" w:cs="Times New Roman"/>
          <w:sz w:val="32"/>
          <w:szCs w:val="32"/>
        </w:rPr>
        <w:t>收结案情况</w:t>
      </w:r>
    </w:p>
    <w:p w14:paraId="2B6E973B" w14:textId="2B84E39D" w:rsidR="00404228" w:rsidRDefault="00D5433F" w:rsidP="00AB617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433F">
        <w:rPr>
          <w:rFonts w:ascii="Times New Roman" w:eastAsia="楷体" w:hAnsi="Times New Roman" w:cs="Times New Roman"/>
          <w:sz w:val="32"/>
          <w:szCs w:val="32"/>
        </w:rPr>
        <w:t>1.</w:t>
      </w:r>
      <w:r w:rsidRPr="00D5433F">
        <w:rPr>
          <w:rFonts w:ascii="Times New Roman" w:eastAsia="楷体" w:hAnsi="Times New Roman" w:cs="Times New Roman"/>
          <w:sz w:val="32"/>
          <w:szCs w:val="32"/>
        </w:rPr>
        <w:t>两级法院总体情况。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2022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年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1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月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1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日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-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月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3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日，长春林区两级法院受案</w:t>
      </w:r>
      <w:r w:rsidR="0038007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433</w:t>
      </w:r>
      <w:r w:rsidR="00404236" w:rsidRPr="00D543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件，同比下降</w:t>
      </w:r>
      <w:r w:rsidR="00B1106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18.76</w:t>
      </w:r>
      <w:r w:rsidR="00404236" w:rsidRPr="00D543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404236" w:rsidRPr="00D543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；新收</w:t>
      </w:r>
      <w:r w:rsidR="0038007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B1106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309</w:t>
      </w:r>
      <w:r w:rsidR="00404236" w:rsidRPr="00D543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件，同比下降</w:t>
      </w:r>
      <w:r w:rsidR="00B1106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24.68</w:t>
      </w:r>
      <w:r w:rsidR="00404236" w:rsidRPr="00D543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404236" w:rsidRPr="00D543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。审执结</w:t>
      </w:r>
      <w:r w:rsidR="0038007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B1106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385</w:t>
      </w:r>
      <w:r w:rsidR="00404236" w:rsidRPr="00D5433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，同比下降</w:t>
      </w:r>
      <w:r w:rsidR="0038007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7.90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；未结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件，同比</w:t>
      </w:r>
      <w:r w:rsidR="009D54FE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37.66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="00404236" w:rsidRPr="00D5433F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E01F268" w14:textId="616A0A4E" w:rsidR="00404228" w:rsidRDefault="00404236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B6173">
        <w:rPr>
          <w:rFonts w:ascii="Times New Roman" w:eastAsia="仿宋_GB2312" w:hAnsi="Times New Roman" w:cs="Times New Roman"/>
          <w:b/>
          <w:sz w:val="32"/>
          <w:szCs w:val="32"/>
        </w:rPr>
        <w:t>结案率</w:t>
      </w:r>
      <w:r w:rsidR="009D54FE">
        <w:rPr>
          <w:rFonts w:ascii="Times New Roman" w:eastAsia="仿宋_GB2312" w:hAnsi="Times New Roman" w:cs="Times New Roman"/>
          <w:sz w:val="32"/>
          <w:szCs w:val="32"/>
        </w:rPr>
        <w:t>9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6.65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，同比</w:t>
      </w:r>
      <w:r w:rsidR="009D54FE">
        <w:rPr>
          <w:rFonts w:ascii="Times New Roman" w:eastAsia="仿宋_GB2312" w:hAnsi="Times New Roman" w:cs="Times New Roman" w:hint="eastAsia"/>
          <w:sz w:val="32"/>
          <w:szCs w:val="32"/>
        </w:rPr>
        <w:t>上升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1.02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个百分点，高于全省均值（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92.38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）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4.27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个百分点，在三家直属法院中排名第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（长春铁路</w:t>
      </w:r>
      <w:r w:rsidR="009D54FE">
        <w:rPr>
          <w:rFonts w:ascii="Times New Roman" w:eastAsia="仿宋_GB2312" w:hAnsi="Times New Roman" w:cs="Times New Roman"/>
          <w:sz w:val="32"/>
          <w:szCs w:val="32"/>
        </w:rPr>
        <w:t>9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7.31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，延边林区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95.71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），在全省十二个地区中排名第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D5433F" w:rsidRPr="00D5433F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4260088" w14:textId="1C453D3C" w:rsidR="00D5433F" w:rsidRDefault="00404236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AB6173">
        <w:rPr>
          <w:rFonts w:ascii="Times New Roman" w:eastAsia="仿宋_GB2312" w:hAnsi="Times New Roman" w:cs="Times New Roman"/>
          <w:b/>
          <w:sz w:val="32"/>
          <w:szCs w:val="32"/>
        </w:rPr>
        <w:t>结收比</w:t>
      </w:r>
      <w:proofErr w:type="gramEnd"/>
      <w:r w:rsidRPr="00D5433F">
        <w:rPr>
          <w:rFonts w:ascii="Times New Roman" w:eastAsia="仿宋_GB2312" w:hAnsi="Times New Roman" w:cs="Times New Roman"/>
          <w:sz w:val="32"/>
          <w:szCs w:val="32"/>
        </w:rPr>
        <w:t>1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05.81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，同比上升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8.74</w:t>
      </w:r>
      <w:r w:rsidRPr="00D5433F">
        <w:rPr>
          <w:rFonts w:ascii="Times New Roman" w:eastAsia="仿宋_GB2312" w:hAnsi="Times New Roman" w:cs="Times New Roman"/>
          <w:sz w:val="32"/>
          <w:szCs w:val="32"/>
        </w:rPr>
        <w:t>个百分点</w:t>
      </w:r>
      <w:r w:rsidR="00D5433F">
        <w:rPr>
          <w:rFonts w:ascii="Times New Roman" w:eastAsia="仿宋_GB2312" w:hAnsi="Times New Roman" w:cs="Times New Roman" w:hint="eastAsia"/>
          <w:sz w:val="32"/>
          <w:szCs w:val="32"/>
        </w:rPr>
        <w:t>，高于全省均值（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101.6</w:t>
      </w:r>
      <w:r w:rsidR="00D5433F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D5433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4.21</w:t>
      </w:r>
      <w:r w:rsidR="00D5433F">
        <w:rPr>
          <w:rFonts w:ascii="Times New Roman" w:eastAsia="仿宋_GB2312" w:hAnsi="Times New Roman" w:cs="Times New Roman" w:hint="eastAsia"/>
          <w:sz w:val="32"/>
          <w:szCs w:val="32"/>
        </w:rPr>
        <w:t>个百分点，在三家直属法院中排名第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D5433F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5433F" w:rsidRPr="00D5433F">
        <w:rPr>
          <w:rFonts w:ascii="Times New Roman" w:eastAsia="仿宋_GB2312" w:hAnsi="Times New Roman" w:cs="Times New Roman"/>
          <w:sz w:val="32"/>
          <w:szCs w:val="32"/>
        </w:rPr>
        <w:t>长春铁路</w:t>
      </w:r>
      <w:r w:rsidR="009D54FE">
        <w:rPr>
          <w:rFonts w:ascii="Times New Roman" w:eastAsia="仿宋_GB2312" w:hAnsi="Times New Roman" w:cs="Times New Roman"/>
          <w:sz w:val="32"/>
          <w:szCs w:val="32"/>
        </w:rPr>
        <w:t>10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6.09</w:t>
      </w:r>
      <w:r w:rsidR="00D5433F"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="00D5433F" w:rsidRPr="00D5433F">
        <w:rPr>
          <w:rFonts w:ascii="Times New Roman" w:eastAsia="仿宋_GB2312" w:hAnsi="Times New Roman" w:cs="Times New Roman"/>
          <w:sz w:val="32"/>
          <w:szCs w:val="32"/>
        </w:rPr>
        <w:t>，延边林区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99.78</w:t>
      </w:r>
      <w:r w:rsidR="00D5433F"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="00D5433F"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 w:rsidR="00D5433F" w:rsidRPr="00D5433F">
        <w:rPr>
          <w:rFonts w:ascii="Times New Roman" w:eastAsia="仿宋_GB2312" w:hAnsi="Times New Roman" w:cs="Times New Roman"/>
          <w:sz w:val="32"/>
          <w:szCs w:val="32"/>
        </w:rPr>
        <w:t>在全省十二个地区中排名第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D5433F" w:rsidRPr="00D5433F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5C2ECDF" w14:textId="44CF67F6" w:rsidR="00404228" w:rsidRDefault="00D5433F" w:rsidP="00AB617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D2A43">
        <w:rPr>
          <w:rFonts w:ascii="Times New Roman" w:eastAsia="楷体" w:hAnsi="Times New Roman" w:cs="Times New Roman" w:hint="eastAsia"/>
          <w:sz w:val="32"/>
          <w:szCs w:val="32"/>
        </w:rPr>
        <w:t>2.</w:t>
      </w:r>
      <w:r w:rsidR="00391279">
        <w:rPr>
          <w:rFonts w:ascii="Times New Roman" w:eastAsia="楷体" w:hAnsi="Times New Roman" w:cs="Times New Roman" w:hint="eastAsia"/>
          <w:sz w:val="32"/>
          <w:szCs w:val="32"/>
        </w:rPr>
        <w:t>中院机关及</w:t>
      </w:r>
      <w:r w:rsidRPr="00FD2A43">
        <w:rPr>
          <w:rFonts w:ascii="Times New Roman" w:eastAsia="楷体" w:hAnsi="Times New Roman" w:cs="Times New Roman"/>
          <w:sz w:val="32"/>
          <w:szCs w:val="32"/>
        </w:rPr>
        <w:t>各基层法院情况。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2022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年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1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月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1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日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-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月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3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FD2A43" w:rsidRPr="00D5433F">
        <w:rPr>
          <w:rFonts w:ascii="Times New Roman" w:eastAsia="仿宋_GB2312" w:hAnsi="Times New Roman" w:cs="Times New Roman"/>
          <w:sz w:val="32"/>
          <w:szCs w:val="32"/>
        </w:rPr>
        <w:t>日，</w:t>
      </w:r>
      <w:r w:rsidR="00391279">
        <w:rPr>
          <w:rFonts w:ascii="Times New Roman" w:eastAsia="仿宋_GB2312" w:hAnsi="Times New Roman" w:cs="Times New Roman" w:hint="eastAsia"/>
          <w:sz w:val="32"/>
          <w:szCs w:val="32"/>
        </w:rPr>
        <w:t>中院机关受案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82</w:t>
      </w:r>
      <w:r w:rsidR="00391279">
        <w:rPr>
          <w:rFonts w:ascii="Times New Roman" w:eastAsia="仿宋_GB2312" w:hAnsi="Times New Roman" w:cs="Times New Roman" w:hint="eastAsia"/>
          <w:sz w:val="32"/>
          <w:szCs w:val="32"/>
        </w:rPr>
        <w:t>件，同比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8.89</w:t>
      </w:r>
      <w:r w:rsidR="00391279">
        <w:rPr>
          <w:rFonts w:ascii="Times New Roman" w:eastAsia="仿宋_GB2312" w:hAnsi="Times New Roman" w:cs="Times New Roman"/>
          <w:sz w:val="32"/>
          <w:szCs w:val="32"/>
        </w:rPr>
        <w:t>%</w:t>
      </w:r>
      <w:r w:rsidR="00391279">
        <w:rPr>
          <w:rFonts w:ascii="Times New Roman" w:eastAsia="仿宋_GB2312" w:hAnsi="Times New Roman" w:cs="Times New Roman" w:hint="eastAsia"/>
          <w:sz w:val="32"/>
          <w:szCs w:val="32"/>
        </w:rPr>
        <w:t>，结案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D634F3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391279">
        <w:rPr>
          <w:rFonts w:ascii="Times New Roman" w:eastAsia="仿宋_GB2312" w:hAnsi="Times New Roman" w:cs="Times New Roman" w:hint="eastAsia"/>
          <w:sz w:val="32"/>
          <w:szCs w:val="32"/>
        </w:rPr>
        <w:t>件，同比</w:t>
      </w:r>
      <w:r w:rsidR="00D634F3">
        <w:rPr>
          <w:rFonts w:ascii="Times New Roman" w:eastAsia="仿宋_GB2312" w:hAnsi="Times New Roman" w:cs="Times New Roman" w:hint="eastAsia"/>
          <w:sz w:val="32"/>
          <w:szCs w:val="32"/>
        </w:rPr>
        <w:t>上升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634F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bookmarkStart w:id="0" w:name="_GoBack"/>
      <w:bookmarkEnd w:id="0"/>
      <w:r w:rsidR="00D634F3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="00391279">
        <w:rPr>
          <w:rFonts w:ascii="Times New Roman" w:eastAsia="仿宋_GB2312" w:hAnsi="Times New Roman" w:cs="Times New Roman"/>
          <w:sz w:val="32"/>
          <w:szCs w:val="32"/>
        </w:rPr>
        <w:t>%</w:t>
      </w:r>
      <w:r w:rsidR="00391279">
        <w:rPr>
          <w:rFonts w:ascii="Times New Roman" w:eastAsia="仿宋_GB2312" w:hAnsi="Times New Roman" w:cs="Times New Roman" w:hint="eastAsia"/>
          <w:sz w:val="32"/>
          <w:szCs w:val="32"/>
        </w:rPr>
        <w:t>，结案率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96.34</w:t>
      </w:r>
      <w:r w:rsidR="00391279">
        <w:rPr>
          <w:rFonts w:ascii="Times New Roman" w:eastAsia="仿宋_GB2312" w:hAnsi="Times New Roman" w:cs="Times New Roman"/>
          <w:sz w:val="32"/>
          <w:szCs w:val="32"/>
        </w:rPr>
        <w:t>%</w:t>
      </w:r>
      <w:r w:rsidR="00391279">
        <w:rPr>
          <w:rFonts w:ascii="Times New Roman" w:eastAsia="仿宋_GB2312" w:hAnsi="Times New Roman" w:cs="Times New Roman" w:hint="eastAsia"/>
          <w:sz w:val="32"/>
          <w:szCs w:val="32"/>
        </w:rPr>
        <w:t>，同比上升</w:t>
      </w:r>
      <w:r w:rsidR="00B11062">
        <w:rPr>
          <w:rFonts w:ascii="Times New Roman" w:eastAsia="仿宋_GB2312" w:hAnsi="Times New Roman" w:cs="Times New Roman" w:hint="eastAsia"/>
          <w:sz w:val="32"/>
          <w:szCs w:val="32"/>
        </w:rPr>
        <w:t>9.67</w:t>
      </w:r>
      <w:r w:rsidR="00391279">
        <w:rPr>
          <w:rFonts w:ascii="Times New Roman" w:eastAsia="仿宋_GB2312" w:hAnsi="Times New Roman" w:cs="Times New Roman" w:hint="eastAsia"/>
          <w:sz w:val="32"/>
          <w:szCs w:val="32"/>
        </w:rPr>
        <w:t>个百分点，</w:t>
      </w:r>
      <w:proofErr w:type="gramStart"/>
      <w:r w:rsidR="0039127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结收比</w:t>
      </w:r>
      <w:proofErr w:type="gramEnd"/>
      <w:r w:rsidR="0039127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="00B110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3.95</w:t>
      </w:r>
      <w:r w:rsidR="0039127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 w:rsidR="0039127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，同比上升</w:t>
      </w:r>
      <w:r w:rsidR="00B110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12.18</w:t>
      </w:r>
      <w:r w:rsidR="0039127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个百分点。</w:t>
      </w:r>
    </w:p>
    <w:p w14:paraId="0AAF04A1" w14:textId="604A3C0F" w:rsidR="00404228" w:rsidRDefault="00FD2A43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0422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白石山林区基层法院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受案</w:t>
      </w:r>
      <w:r w:rsidR="0039127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90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件，同比下降</w:t>
      </w:r>
      <w:r w:rsidR="00391279">
        <w:rPr>
          <w:rFonts w:ascii="Times New Roman" w:eastAsia="仿宋_GB2312" w:hAnsi="Times New Roman" w:cs="Times New Roman"/>
          <w:color w:val="000000"/>
          <w:sz w:val="32"/>
          <w:szCs w:val="32"/>
        </w:rPr>
        <w:t>28.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57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39127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83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件，同比下降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27.38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，结案率</w:t>
      </w:r>
      <w:r w:rsidR="00391279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6.32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1.58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结收比</w:t>
      </w:r>
      <w:proofErr w:type="gramEnd"/>
      <w:r w:rsidR="00391279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5.17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9.35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个百分点。</w:t>
      </w:r>
    </w:p>
    <w:p w14:paraId="06C0C3B2" w14:textId="55621853" w:rsidR="00404228" w:rsidRDefault="00FD2A43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04228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红石</w:t>
      </w:r>
      <w:r w:rsidRPr="0040422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林区基层法院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受案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464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件，同比下降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21.36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447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件，同比下降</w:t>
      </w:r>
      <w:r w:rsidR="0021051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="0021051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85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，结案率</w:t>
      </w:r>
      <w:r w:rsidR="00210513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6.34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下降</w:t>
      </w:r>
      <w:r w:rsidR="00210513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结收比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="00210513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97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9.35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个百分点。</w:t>
      </w:r>
    </w:p>
    <w:p w14:paraId="6BBF2870" w14:textId="1667E0AC" w:rsidR="00404228" w:rsidRDefault="00FD2A43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04228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临江</w:t>
      </w:r>
      <w:r w:rsidRPr="0040422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林区基层法院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受案</w:t>
      </w:r>
      <w:r w:rsidR="0021051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件，同比下降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10.26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136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件，同比下降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9.93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，结案率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97.14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0.35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结收比</w:t>
      </w:r>
      <w:proofErr w:type="gramEnd"/>
      <w:r w:rsidR="00210513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8.55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</w:t>
      </w:r>
      <w:r w:rsidR="000219B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1.76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个百分点。</w:t>
      </w:r>
    </w:p>
    <w:p w14:paraId="6E04FDFA" w14:textId="38D91BD4" w:rsidR="00404228" w:rsidRDefault="00FD2A43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404228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抚</w:t>
      </w:r>
      <w:proofErr w:type="gramEnd"/>
      <w:r w:rsidRPr="00404228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松</w:t>
      </w:r>
      <w:r w:rsidRPr="0040422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林区基层法院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受案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343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</w:t>
      </w:r>
      <w:r w:rsidR="0021051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6.52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335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</w:t>
      </w:r>
      <w:r w:rsidR="0036093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7.72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，结案率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97.67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1.08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结收比</w:t>
      </w:r>
      <w:proofErr w:type="gramEnd"/>
      <w:r w:rsidR="00360930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，同比上升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8.83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个百分点。</w:t>
      </w:r>
    </w:p>
    <w:p w14:paraId="70EF6042" w14:textId="166F2261" w:rsidR="00915F74" w:rsidRPr="00360930" w:rsidRDefault="00FD2A43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404228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江源</w:t>
      </w:r>
      <w:r w:rsidRPr="0040422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林区基层法院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受案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214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件，同比下降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37.06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，结案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205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件，同比下降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36.53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，结案率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95.79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，同比上升</w:t>
      </w:r>
      <w:r w:rsidR="00360930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结收比</w:t>
      </w:r>
      <w:proofErr w:type="gramEnd"/>
      <w:r w:rsidR="00360930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7.33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，同比上升</w:t>
      </w:r>
      <w:r w:rsidR="00360930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922B1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</w:t>
      </w:r>
      <w:r w:rsidR="00B93C2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492EAC7D" w14:textId="1D113368" w:rsidR="00404228" w:rsidRDefault="00915F74" w:rsidP="00AB617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15F74">
        <w:rPr>
          <w:rFonts w:ascii="Times New Roman" w:eastAsia="楷体" w:hAnsi="Times New Roman" w:cs="Times New Roman" w:hint="eastAsia"/>
          <w:sz w:val="32"/>
          <w:szCs w:val="32"/>
        </w:rPr>
        <w:t>3.</w:t>
      </w:r>
      <w:r w:rsidR="00360930">
        <w:rPr>
          <w:rFonts w:ascii="Times New Roman" w:eastAsia="楷体" w:hAnsi="Times New Roman" w:cs="Times New Roman" w:hint="eastAsia"/>
          <w:sz w:val="32"/>
          <w:szCs w:val="32"/>
        </w:rPr>
        <w:t>中院机关及</w:t>
      </w:r>
      <w:r w:rsidRPr="00915F74">
        <w:rPr>
          <w:rFonts w:ascii="Times New Roman" w:eastAsia="楷体" w:hAnsi="Times New Roman" w:cs="Times New Roman" w:hint="eastAsia"/>
          <w:sz w:val="32"/>
          <w:szCs w:val="32"/>
        </w:rPr>
        <w:t>各基层法院结案率、</w:t>
      </w:r>
      <w:proofErr w:type="gramStart"/>
      <w:r w:rsidRPr="00915F74">
        <w:rPr>
          <w:rFonts w:ascii="Times New Roman" w:eastAsia="楷体" w:hAnsi="Times New Roman" w:cs="Times New Roman" w:hint="eastAsia"/>
          <w:sz w:val="32"/>
          <w:szCs w:val="32"/>
        </w:rPr>
        <w:t>结收比</w:t>
      </w:r>
      <w:proofErr w:type="gramEnd"/>
      <w:r w:rsidRPr="00915F74">
        <w:rPr>
          <w:rFonts w:ascii="Times New Roman" w:eastAsia="楷体" w:hAnsi="Times New Roman" w:cs="Times New Roman" w:hint="eastAsia"/>
          <w:sz w:val="32"/>
          <w:szCs w:val="32"/>
        </w:rPr>
        <w:t>排名情况。</w:t>
      </w:r>
      <w:r w:rsidR="00360930" w:rsidRP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中院机关结案率在三家直属</w:t>
      </w:r>
      <w:r w:rsid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中院</w:t>
      </w:r>
      <w:r w:rsidR="00360930" w:rsidRP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中排名第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</w:t>
      </w:r>
      <w:r w:rsidR="00DF316C" w:rsidRP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（长春铁路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97.31</w:t>
      </w:r>
      <w:r w:rsidR="00DF316C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DF316C" w:rsidRP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延边林区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95.71</w:t>
      </w:r>
      <w:r w:rsidR="00DF316C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DF316C" w:rsidRP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="00360930" w:rsidRP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proofErr w:type="gramStart"/>
      <w:r w:rsidR="00DF316C">
        <w:rPr>
          <w:rFonts w:ascii="Times New Roman" w:eastAsia="仿宋_GB2312" w:hAnsi="Times New Roman" w:cs="Times New Roman" w:hint="eastAsia"/>
          <w:sz w:val="32"/>
          <w:szCs w:val="32"/>
        </w:rPr>
        <w:t>结收比</w:t>
      </w:r>
      <w:proofErr w:type="gramEnd"/>
      <w:r w:rsidR="00DF316C">
        <w:rPr>
          <w:rFonts w:ascii="Times New Roman" w:eastAsia="仿宋_GB2312" w:hAnsi="Times New Roman" w:cs="Times New Roman" w:hint="eastAsia"/>
          <w:sz w:val="32"/>
          <w:szCs w:val="32"/>
        </w:rPr>
        <w:t>在三家直属中院中排名第</w:t>
      </w:r>
      <w:r w:rsidR="001240D2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DF316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F316C" w:rsidRP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长春铁路</w:t>
      </w:r>
      <w:r w:rsidR="00DF316C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06.09</w:t>
      </w:r>
      <w:r w:rsidR="00DF316C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DF316C" w:rsidRPr="00DF316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延边林区</w:t>
      </w:r>
      <w:r w:rsidR="00DF316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9.78</w:t>
      </w:r>
      <w:r w:rsidR="00DF316C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="00DF316C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14:paraId="62A24931" w14:textId="3F0C25CD" w:rsidR="00404228" w:rsidRDefault="00A84B34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B6173">
        <w:rPr>
          <w:rFonts w:ascii="Times New Roman" w:eastAsia="仿宋_GB2312" w:hAnsi="Times New Roman" w:cs="Times New Roman" w:hint="eastAsia"/>
          <w:b/>
          <w:sz w:val="32"/>
          <w:szCs w:val="32"/>
        </w:rPr>
        <w:t>各基层法院结案率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在十五家林区、铁路基层法院中由高到低依次是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抚松</w:t>
      </w:r>
      <w:r w:rsidR="001240D2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排名第五位、临江</w:t>
      </w:r>
      <w:r w:rsidR="001240D2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排名第七位、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红石林区基层法院</w:t>
      </w:r>
      <w:r w:rsidR="00404228">
        <w:rPr>
          <w:rFonts w:ascii="Times New Roman" w:eastAsia="仿宋_GB2312" w:hAnsi="Times New Roman" w:cs="Times New Roman" w:hint="eastAsia"/>
          <w:sz w:val="32"/>
          <w:szCs w:val="32"/>
        </w:rPr>
        <w:t>排名</w:t>
      </w:r>
      <w:r w:rsidR="004042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第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十二</w:t>
      </w:r>
      <w:r w:rsidR="004042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白石山</w:t>
      </w:r>
      <w:r w:rsidR="001240D2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排名第十三位、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江源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</w:t>
      </w:r>
      <w:r w:rsidR="004042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排名第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十四</w:t>
      </w:r>
      <w:r w:rsidR="004042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位。</w:t>
      </w:r>
    </w:p>
    <w:p w14:paraId="28C628F6" w14:textId="1BD03F81" w:rsidR="00A84B34" w:rsidRDefault="00404228" w:rsidP="00AB6173">
      <w:pPr>
        <w:spacing w:line="57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B6173">
        <w:rPr>
          <w:rFonts w:ascii="Times New Roman" w:eastAsia="仿宋_GB2312" w:hAnsi="Times New Roman" w:cs="Times New Roman" w:hint="eastAsia"/>
          <w:b/>
          <w:sz w:val="32"/>
          <w:szCs w:val="32"/>
        </w:rPr>
        <w:t>各基层</w:t>
      </w:r>
      <w:proofErr w:type="gramStart"/>
      <w:r w:rsidRPr="00AB6173">
        <w:rPr>
          <w:rFonts w:ascii="Times New Roman" w:eastAsia="仿宋_GB2312" w:hAnsi="Times New Roman" w:cs="Times New Roman" w:hint="eastAsia"/>
          <w:b/>
          <w:sz w:val="32"/>
          <w:szCs w:val="32"/>
        </w:rPr>
        <w:t>法院结收比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在十五家林区、铁路基层法院中由高到低依次是红石林区基层法院排名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第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江源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排名第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位、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抚松</w:t>
      </w:r>
      <w:r w:rsidR="001240D2"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排名第四位、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白石山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第五位、临江</w:t>
      </w:r>
      <w:r w:rsidRPr="00D62A20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排名第十</w:t>
      </w:r>
      <w:r w:rsidR="001240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位。</w:t>
      </w:r>
    </w:p>
    <w:p w14:paraId="5B4BCA45" w14:textId="77777777" w:rsidR="00915F74" w:rsidRPr="00D5433F" w:rsidRDefault="00915F74" w:rsidP="00AB6173">
      <w:pPr>
        <w:pStyle w:val="a5"/>
        <w:numPr>
          <w:ilvl w:val="0"/>
          <w:numId w:val="1"/>
        </w:numPr>
        <w:spacing w:line="57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审判质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效主要指标月</w:t>
      </w:r>
      <w:proofErr w:type="gramEnd"/>
      <w:r>
        <w:rPr>
          <w:rFonts w:ascii="Times New Roman" w:eastAsia="黑体" w:hAnsi="Times New Roman" w:cs="Times New Roman" w:hint="eastAsia"/>
          <w:sz w:val="32"/>
          <w:szCs w:val="32"/>
        </w:rPr>
        <w:t>调度</w:t>
      </w:r>
      <w:r w:rsidRPr="00D5433F">
        <w:rPr>
          <w:rFonts w:ascii="Times New Roman" w:eastAsia="黑体" w:hAnsi="Times New Roman" w:cs="Times New Roman"/>
          <w:sz w:val="32"/>
          <w:szCs w:val="32"/>
        </w:rPr>
        <w:t>情况</w:t>
      </w:r>
    </w:p>
    <w:p w14:paraId="059BA9C3" w14:textId="7578433A" w:rsidR="00915F74" w:rsidRDefault="00BB14B8" w:rsidP="00AB617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5433F">
        <w:rPr>
          <w:rFonts w:ascii="Times New Roman" w:eastAsia="楷体" w:hAnsi="Times New Roman" w:cs="Times New Roman"/>
          <w:sz w:val="32"/>
          <w:szCs w:val="32"/>
        </w:rPr>
        <w:t>1.</w:t>
      </w:r>
      <w:r w:rsidRPr="00D5433F">
        <w:rPr>
          <w:rFonts w:ascii="Times New Roman" w:eastAsia="楷体" w:hAnsi="Times New Roman" w:cs="Times New Roman"/>
          <w:sz w:val="32"/>
          <w:szCs w:val="32"/>
        </w:rPr>
        <w:t>两级法院总体情况。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</w:t>
      </w:r>
      <w:r w:rsidR="0029399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29399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长春林区两级法院审判质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效主要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指标合计比率为</w:t>
      </w:r>
      <w:r w:rsidR="00F358E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29399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6.22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，在三家直属法院中排名第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</w:t>
      </w:r>
      <w:r w:rsidR="0029352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293524" w:rsidRPr="00D5433F">
        <w:rPr>
          <w:rFonts w:ascii="Times New Roman" w:eastAsia="仿宋_GB2312" w:hAnsi="Times New Roman" w:cs="Times New Roman"/>
          <w:sz w:val="32"/>
          <w:szCs w:val="32"/>
        </w:rPr>
        <w:t>长春铁路</w:t>
      </w:r>
      <w:r w:rsidR="00B048C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293999">
        <w:rPr>
          <w:rFonts w:ascii="Times New Roman" w:eastAsia="仿宋_GB2312" w:hAnsi="Times New Roman" w:cs="Times New Roman" w:hint="eastAsia"/>
          <w:sz w:val="32"/>
          <w:szCs w:val="32"/>
        </w:rPr>
        <w:t>7.18</w:t>
      </w:r>
      <w:r w:rsidR="00293524"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="00293524" w:rsidRPr="00D5433F">
        <w:rPr>
          <w:rFonts w:ascii="Times New Roman" w:eastAsia="仿宋_GB2312" w:hAnsi="Times New Roman" w:cs="Times New Roman"/>
          <w:sz w:val="32"/>
          <w:szCs w:val="32"/>
        </w:rPr>
        <w:t>，延边林区</w:t>
      </w:r>
      <w:r w:rsidR="00F358E8">
        <w:rPr>
          <w:rFonts w:ascii="Times New Roman" w:eastAsia="仿宋_GB2312" w:hAnsi="Times New Roman" w:cs="Times New Roman"/>
          <w:sz w:val="32"/>
          <w:szCs w:val="32"/>
        </w:rPr>
        <w:t>9</w:t>
      </w:r>
      <w:r w:rsidR="00293999">
        <w:rPr>
          <w:rFonts w:ascii="Times New Roman" w:eastAsia="仿宋_GB2312" w:hAnsi="Times New Roman" w:cs="Times New Roman" w:hint="eastAsia"/>
          <w:sz w:val="32"/>
          <w:szCs w:val="32"/>
        </w:rPr>
        <w:t>4.06</w:t>
      </w:r>
      <w:r w:rsidR="00293524"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="0029352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，在全省十二个地区中排名第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2224DC34" w14:textId="624823A7" w:rsidR="00900E43" w:rsidRPr="00404228" w:rsidRDefault="00264E19" w:rsidP="0084402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D2A43">
        <w:rPr>
          <w:rFonts w:ascii="Times New Roman" w:eastAsia="楷体" w:hAnsi="Times New Roman" w:cs="Times New Roman" w:hint="eastAsia"/>
          <w:sz w:val="32"/>
          <w:szCs w:val="32"/>
        </w:rPr>
        <w:t>2.</w:t>
      </w:r>
      <w:r w:rsidR="00F358E8">
        <w:rPr>
          <w:rFonts w:ascii="Times New Roman" w:eastAsia="楷体" w:hAnsi="Times New Roman" w:cs="Times New Roman" w:hint="eastAsia"/>
          <w:sz w:val="32"/>
          <w:szCs w:val="32"/>
        </w:rPr>
        <w:t>中院机关及</w:t>
      </w:r>
      <w:r w:rsidRPr="00FD2A43">
        <w:rPr>
          <w:rFonts w:ascii="Times New Roman" w:eastAsia="楷体" w:hAnsi="Times New Roman" w:cs="Times New Roman"/>
          <w:sz w:val="32"/>
          <w:szCs w:val="32"/>
        </w:rPr>
        <w:t>各基层法院情况。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</w:t>
      </w:r>
      <w:r w:rsidR="0029399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29399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Pr="00DF42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日，</w:t>
      </w:r>
      <w:r w:rsidR="00F358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中院机关审判质</w:t>
      </w:r>
      <w:proofErr w:type="gramStart"/>
      <w:r w:rsidR="00F358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效主要</w:t>
      </w:r>
      <w:proofErr w:type="gramEnd"/>
      <w:r w:rsidR="00F358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指标合计比率为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9.72</w:t>
      </w:r>
      <w:r w:rsidR="00F358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="00F358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，在三家直属法院中排名第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</w:t>
      </w:r>
      <w:r w:rsidR="00F358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="00F358E8" w:rsidRPr="00D5433F">
        <w:rPr>
          <w:rFonts w:ascii="Times New Roman" w:eastAsia="仿宋_GB2312" w:hAnsi="Times New Roman" w:cs="Times New Roman"/>
          <w:sz w:val="32"/>
          <w:szCs w:val="32"/>
        </w:rPr>
        <w:t>长春铁路</w:t>
      </w:r>
      <w:r w:rsidR="00B048CC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844023">
        <w:rPr>
          <w:rFonts w:ascii="Times New Roman" w:eastAsia="仿宋_GB2312" w:hAnsi="Times New Roman" w:cs="Times New Roman" w:hint="eastAsia"/>
          <w:sz w:val="32"/>
          <w:szCs w:val="32"/>
        </w:rPr>
        <w:t>4.67</w:t>
      </w:r>
      <w:r w:rsidR="00F358E8"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="00F358E8" w:rsidRPr="00D5433F">
        <w:rPr>
          <w:rFonts w:ascii="Times New Roman" w:eastAsia="仿宋_GB2312" w:hAnsi="Times New Roman" w:cs="Times New Roman"/>
          <w:sz w:val="32"/>
          <w:szCs w:val="32"/>
        </w:rPr>
        <w:t>，延边林区</w:t>
      </w:r>
      <w:r w:rsidR="00F358E8">
        <w:rPr>
          <w:rFonts w:ascii="Times New Roman" w:eastAsia="仿宋_GB2312" w:hAnsi="Times New Roman" w:cs="Times New Roman"/>
          <w:sz w:val="32"/>
          <w:szCs w:val="32"/>
        </w:rPr>
        <w:t>7</w:t>
      </w:r>
      <w:r w:rsidR="00844023">
        <w:rPr>
          <w:rFonts w:ascii="Times New Roman" w:eastAsia="仿宋_GB2312" w:hAnsi="Times New Roman" w:cs="Times New Roman" w:hint="eastAsia"/>
          <w:sz w:val="32"/>
          <w:szCs w:val="32"/>
        </w:rPr>
        <w:t>8.78</w:t>
      </w:r>
      <w:r w:rsidR="00F358E8" w:rsidRPr="00D5433F">
        <w:rPr>
          <w:rFonts w:ascii="Times New Roman" w:eastAsia="仿宋_GB2312" w:hAnsi="Times New Roman" w:cs="Times New Roman"/>
          <w:sz w:val="32"/>
          <w:szCs w:val="32"/>
        </w:rPr>
        <w:t>%</w:t>
      </w:r>
      <w:r w:rsidR="00F358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）。</w:t>
      </w:r>
      <w:r w:rsidR="00900E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各基层法院审判质</w:t>
      </w:r>
      <w:proofErr w:type="gramStart"/>
      <w:r w:rsidR="00900E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效主要</w:t>
      </w:r>
      <w:proofErr w:type="gramEnd"/>
      <w:r w:rsidR="00900E4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指标合计比率</w:t>
      </w:r>
      <w:r w:rsidR="00404228">
        <w:rPr>
          <w:rFonts w:ascii="Times New Roman" w:eastAsia="仿宋_GB2312" w:hAnsi="Times New Roman" w:cs="Times New Roman" w:hint="eastAsia"/>
          <w:sz w:val="32"/>
          <w:szCs w:val="32"/>
        </w:rPr>
        <w:t>在十五家林区、铁路基层法院中</w:t>
      </w:r>
      <w:r w:rsidR="00404228" w:rsidRPr="00844023">
        <w:rPr>
          <w:rFonts w:ascii="Times New Roman" w:eastAsia="仿宋_GB2312" w:hAnsi="Times New Roman" w:cs="Times New Roman" w:hint="eastAsia"/>
          <w:sz w:val="32"/>
          <w:szCs w:val="32"/>
        </w:rPr>
        <w:t>由高到低依次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临江林区基层法院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97.31</w:t>
      </w:r>
      <w:r w:rsidR="00844023" w:rsidRPr="008440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，排名第五位；</w:t>
      </w:r>
      <w:proofErr w:type="gramStart"/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抚</w:t>
      </w:r>
      <w:proofErr w:type="gramEnd"/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松林区基层法院</w:t>
      </w:r>
      <w:r w:rsidR="00844023" w:rsidRPr="008440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6.56</w:t>
      </w:r>
      <w:r w:rsidR="00844023" w:rsidRPr="008440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，排名第八位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="00900E4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红石林区基层法院</w:t>
      </w:r>
      <w:r w:rsidR="00900E4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6.50</w:t>
      </w:r>
      <w:r w:rsidR="00900E43" w:rsidRPr="008440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404228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，排名第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九</w:t>
      </w:r>
      <w:r w:rsidR="00404228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位；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白石山林区基层法院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96.36</w:t>
      </w:r>
      <w:r w:rsidR="00844023" w:rsidRPr="008440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，排名第十位；</w:t>
      </w:r>
      <w:r w:rsidR="00900E4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江源林区基层法院</w:t>
      </w:r>
      <w:r w:rsidR="00900E4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6.</w:t>
      </w:r>
      <w:r w:rsid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27</w:t>
      </w:r>
      <w:r w:rsidR="00900E43" w:rsidRPr="008440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900E4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404228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排名第</w:t>
      </w:r>
      <w:r w:rsidR="00844023" w:rsidRPr="008440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十一位。</w:t>
      </w:r>
    </w:p>
    <w:p w14:paraId="7C2E9713" w14:textId="49580651" w:rsidR="001D281C" w:rsidRDefault="00900E43" w:rsidP="00AB6173">
      <w:pPr>
        <w:spacing w:line="57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BE1B34">
        <w:rPr>
          <w:rFonts w:ascii="Times New Roman" w:eastAsia="楷体" w:hAnsi="Times New Roman" w:cs="Times New Roman" w:hint="eastAsia"/>
          <w:sz w:val="32"/>
          <w:szCs w:val="32"/>
        </w:rPr>
        <w:t>3</w:t>
      </w:r>
      <w:r w:rsidR="00BE795C">
        <w:rPr>
          <w:rFonts w:ascii="Times New Roman" w:eastAsia="楷体" w:hAnsi="Times New Roman" w:cs="Times New Roman" w:hint="eastAsia"/>
          <w:sz w:val="32"/>
          <w:szCs w:val="32"/>
        </w:rPr>
        <w:t>.</w:t>
      </w:r>
      <w:r w:rsidR="00BE1B34" w:rsidRPr="00BE1B34">
        <w:rPr>
          <w:rFonts w:ascii="Times New Roman" w:eastAsia="楷体" w:hAnsi="Times New Roman" w:cs="Times New Roman" w:hint="eastAsia"/>
          <w:sz w:val="32"/>
          <w:szCs w:val="32"/>
        </w:rPr>
        <w:t>审判质</w:t>
      </w:r>
      <w:proofErr w:type="gramStart"/>
      <w:r w:rsidR="00BE1B34" w:rsidRPr="00BE1B34">
        <w:rPr>
          <w:rFonts w:ascii="Times New Roman" w:eastAsia="楷体" w:hAnsi="Times New Roman" w:cs="Times New Roman" w:hint="eastAsia"/>
          <w:sz w:val="32"/>
          <w:szCs w:val="32"/>
        </w:rPr>
        <w:t>效主要</w:t>
      </w:r>
      <w:proofErr w:type="gramEnd"/>
      <w:r w:rsidR="00BE1B34" w:rsidRPr="00BE1B34">
        <w:rPr>
          <w:rFonts w:ascii="Times New Roman" w:eastAsia="楷体" w:hAnsi="Times New Roman" w:cs="Times New Roman" w:hint="eastAsia"/>
          <w:sz w:val="32"/>
          <w:szCs w:val="32"/>
        </w:rPr>
        <w:t>指标</w:t>
      </w:r>
      <w:r w:rsidR="00BE1B34">
        <w:rPr>
          <w:rFonts w:ascii="Times New Roman" w:eastAsia="楷体" w:hAnsi="Times New Roman" w:cs="Times New Roman" w:hint="eastAsia"/>
          <w:sz w:val="32"/>
          <w:szCs w:val="32"/>
        </w:rPr>
        <w:t>分项排名情况</w:t>
      </w:r>
      <w:r w:rsidR="00BE1B34" w:rsidRPr="00BE1B34">
        <w:rPr>
          <w:rFonts w:ascii="Times New Roman" w:eastAsia="楷体" w:hAnsi="Times New Roman" w:cs="Times New Roman" w:hint="eastAsia"/>
          <w:sz w:val="32"/>
          <w:szCs w:val="32"/>
        </w:rPr>
        <w:t>。</w:t>
      </w:r>
      <w:r w:rsidR="00BE1B34" w:rsidRPr="001D281C">
        <w:rPr>
          <w:rFonts w:ascii="楷体" w:eastAsia="楷体" w:hAnsi="楷体" w:cs="Times New Roman" w:hint="eastAsia"/>
          <w:b/>
          <w:bCs/>
          <w:sz w:val="32"/>
          <w:szCs w:val="32"/>
        </w:rPr>
        <w:t>①</w:t>
      </w:r>
      <w:r w:rsidR="00BE795C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一审案件服判息诉率：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均值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2.25</w:t>
      </w:r>
      <w:r w:rsidR="00BE79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，中院机关无一审案件，各基层法院由高到低依次是临江林区基层法院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5.95</w:t>
      </w:r>
      <w:r w:rsidR="00BE79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江源林区基层法院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35048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96</w:t>
      </w:r>
      <w:r w:rsidR="0035048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红石林区基层法院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BE79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88</w:t>
      </w:r>
      <w:r w:rsidR="00BE79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，白石山林区基层法院</w:t>
      </w:r>
      <w:r w:rsidR="00BE79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0.57</w:t>
      </w:r>
      <w:r w:rsidR="00BE79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抚松</w:t>
      </w:r>
      <w:r w:rsidR="00BE795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林区基层法院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88.14</w:t>
      </w:r>
      <w:r w:rsidR="00BE79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="00BE1B34" w:rsidRPr="001D281C">
        <w:rPr>
          <w:rFonts w:ascii="楷体" w:eastAsia="楷体" w:hAnsi="楷体" w:cs="Times New Roman" w:hint="eastAsia"/>
          <w:b/>
          <w:bCs/>
          <w:sz w:val="32"/>
          <w:szCs w:val="32"/>
        </w:rPr>
        <w:t>②</w:t>
      </w:r>
      <w:r w:rsidR="00E054A1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生效案件服判息诉率：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两级法院均值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61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，中院机关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1.83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，各基层法院由高到低依次是红石林区基层法院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100.00%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，白石山林区基层法院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100.00%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，抚松林区基层法院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100.00%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，江源林区基层法院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99.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36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，临江林区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基层法院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98.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65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="00BE1B34" w:rsidRPr="001D281C">
        <w:rPr>
          <w:rFonts w:ascii="楷体" w:eastAsia="楷体" w:hAnsi="楷体" w:cs="Times New Roman" w:hint="eastAsia"/>
          <w:b/>
          <w:bCs/>
          <w:sz w:val="32"/>
          <w:szCs w:val="32"/>
        </w:rPr>
        <w:t>③</w:t>
      </w:r>
      <w:r w:rsidR="00E054A1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一审案件被改判发回重审率</w:t>
      </w:r>
      <w:r w:rsidR="00E054A1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(</w:t>
      </w:r>
      <w:r w:rsidR="00E054A1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反向</w:t>
      </w:r>
      <w:r w:rsidR="00E054A1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)</w:t>
      </w:r>
      <w:r w:rsidR="00E054A1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：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两级法院均值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98.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，中院机关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无一审案件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，各基层法院由高到低依次是红石林区基层法院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99.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32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，白石山林区基层法院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9.06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临江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林区基层法院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98.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65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抚松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林区基层法院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3504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74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江源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林区基层法院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B64CB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7.32</w:t>
      </w:r>
      <w:r w:rsidR="00E054A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E054A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="001D281C" w:rsidRPr="001D281C">
        <w:rPr>
          <w:rFonts w:ascii="楷体" w:eastAsia="楷体" w:hAnsi="楷体" w:cs="Times New Roman" w:hint="eastAsia"/>
          <w:b/>
          <w:bCs/>
          <w:sz w:val="32"/>
          <w:szCs w:val="32"/>
        </w:rPr>
        <w:t>④</w:t>
      </w:r>
      <w:r w:rsidR="001D281C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旧存诉讼案件占比</w:t>
      </w:r>
      <w:r w:rsidR="001D281C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(</w:t>
      </w:r>
      <w:r w:rsidR="001D281C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反向</w:t>
      </w:r>
      <w:r w:rsidR="001D281C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)</w:t>
      </w:r>
      <w:r w:rsid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：</w:t>
      </w:r>
      <w:r w:rsidR="001D281C" w:rsidRP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两级法院均为</w:t>
      </w:r>
      <w:r w:rsidR="001D281C" w:rsidRP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1D281C" w:rsidRP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00%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="00BE1B34" w:rsidRPr="001D281C">
        <w:rPr>
          <w:rFonts w:ascii="楷体" w:eastAsia="楷体" w:hAnsi="楷体" w:cs="Times New Roman" w:hint="eastAsia"/>
          <w:b/>
          <w:bCs/>
          <w:sz w:val="32"/>
          <w:szCs w:val="32"/>
        </w:rPr>
        <w:t>⑤</w:t>
      </w:r>
      <w:r w:rsidR="001D281C" w:rsidRPr="001D281C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简易程序适用率：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两级法院均值</w:t>
      </w:r>
      <w:r w:rsidR="00CD4E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92.63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，各基层法院由高到低依次是</w:t>
      </w:r>
      <w:r w:rsidR="00CD4E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白石山林区基层法院</w:t>
      </w:r>
      <w:r w:rsidR="00CD4EB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CD4E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5.28</w:t>
      </w:r>
      <w:r w:rsidR="00CD4EB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CD4E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抚松林区基层法院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CD4E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4.92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，临江林区基层法院</w:t>
      </w:r>
      <w:r w:rsidR="00C20D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94.</w:t>
      </w:r>
      <w:r w:rsidR="00CD4E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59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C20DD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江源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林区基层法院</w:t>
      </w:r>
      <w:r w:rsidR="00C20DD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="00CD4E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3.29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B854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红石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林区基层法院</w:t>
      </w:r>
      <w:r w:rsidR="00CD4EB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89.46</w:t>
      </w:r>
      <w:r w:rsidR="001D281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1D281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1D6C55AF" w14:textId="77777777" w:rsidR="00293524" w:rsidRPr="00293524" w:rsidRDefault="007F7472" w:rsidP="00AB617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93524">
        <w:rPr>
          <w:rFonts w:ascii="Times New Roman" w:eastAsia="黑体" w:hAnsi="Times New Roman" w:cs="Times New Roman" w:hint="eastAsia"/>
          <w:sz w:val="32"/>
          <w:szCs w:val="32"/>
        </w:rPr>
        <w:t>三、</w:t>
      </w:r>
      <w:r w:rsidR="00293524" w:rsidRPr="00293524">
        <w:rPr>
          <w:rFonts w:ascii="Times New Roman" w:eastAsia="黑体" w:hAnsi="Times New Roman" w:cs="Times New Roman"/>
          <w:sz w:val="32"/>
          <w:szCs w:val="32"/>
        </w:rPr>
        <w:t>存案清理情况</w:t>
      </w:r>
    </w:p>
    <w:p w14:paraId="601FE7F9" w14:textId="63C594A8" w:rsidR="00293524" w:rsidRDefault="00293524" w:rsidP="00AB617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长春林区两级法院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日前存案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98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件，至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31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日审执结</w:t>
      </w:r>
      <w:r w:rsidR="00C20DDC">
        <w:rPr>
          <w:rFonts w:ascii="Times New Roman" w:eastAsia="仿宋_GB2312" w:hAnsi="Times New Roman" w:cs="Times New Roman"/>
          <w:color w:val="000000"/>
          <w:sz w:val="32"/>
          <w:szCs w:val="32"/>
        </w:rPr>
        <w:t>86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件，存案未结</w:t>
      </w:r>
      <w:r w:rsidR="00C20DDC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件，存案清结率为</w:t>
      </w:r>
      <w:r w:rsidR="00C20DDC">
        <w:rPr>
          <w:rFonts w:ascii="Times New Roman" w:eastAsia="仿宋_GB2312" w:hAnsi="Times New Roman" w:cs="Times New Roman"/>
          <w:color w:val="000000"/>
          <w:sz w:val="32"/>
          <w:szCs w:val="32"/>
        </w:rPr>
        <w:t>87</w:t>
      </w:r>
      <w:r w:rsidR="00C20DDC" w:rsidRPr="00AB6173">
        <w:rPr>
          <w:rFonts w:ascii="Times New Roman" w:eastAsia="仿宋_GB2312" w:hAnsi="Times New Roman" w:cs="Times New Roman"/>
          <w:sz w:val="32"/>
          <w:szCs w:val="32"/>
        </w:rPr>
        <w:t>.76</w:t>
      </w:r>
      <w:r w:rsidRPr="00AB6173">
        <w:rPr>
          <w:rFonts w:ascii="Times New Roman" w:eastAsia="仿宋_GB2312" w:hAnsi="Times New Roman" w:cs="Times New Roman"/>
          <w:sz w:val="32"/>
          <w:szCs w:val="32"/>
        </w:rPr>
        <w:t>%</w:t>
      </w:r>
      <w:r w:rsidR="00D8370F" w:rsidRPr="00AB6173">
        <w:rPr>
          <w:rFonts w:ascii="Times New Roman" w:eastAsia="仿宋_GB2312" w:hAnsi="Times New Roman" w:cs="Times New Roman" w:hint="eastAsia"/>
          <w:sz w:val="32"/>
          <w:szCs w:val="32"/>
        </w:rPr>
        <w:t>（长春铁路</w:t>
      </w:r>
      <w:r w:rsidR="00E261AE" w:rsidRPr="00AB6173">
        <w:rPr>
          <w:rFonts w:ascii="Times New Roman" w:eastAsia="仿宋_GB2312" w:hAnsi="Times New Roman" w:cs="Times New Roman" w:hint="eastAsia"/>
          <w:sz w:val="32"/>
          <w:szCs w:val="32"/>
        </w:rPr>
        <w:t>91.33</w:t>
      </w:r>
      <w:r w:rsidR="00D8370F" w:rsidRPr="00AB6173">
        <w:rPr>
          <w:rFonts w:ascii="Times New Roman" w:eastAsia="仿宋_GB2312" w:hAnsi="Times New Roman" w:cs="Times New Roman"/>
          <w:sz w:val="32"/>
          <w:szCs w:val="32"/>
        </w:rPr>
        <w:t>%</w:t>
      </w:r>
      <w:r w:rsidR="00D8370F" w:rsidRPr="00AB6173">
        <w:rPr>
          <w:rFonts w:ascii="Times New Roman" w:eastAsia="仿宋_GB2312" w:hAnsi="Times New Roman" w:cs="Times New Roman" w:hint="eastAsia"/>
          <w:sz w:val="32"/>
          <w:szCs w:val="32"/>
        </w:rPr>
        <w:t>，延边林区</w:t>
      </w:r>
      <w:r w:rsidR="00E261AE" w:rsidRPr="00AB6173">
        <w:rPr>
          <w:rFonts w:ascii="Times New Roman" w:eastAsia="仿宋_GB2312" w:hAnsi="Times New Roman" w:cs="Times New Roman" w:hint="eastAsia"/>
          <w:sz w:val="32"/>
          <w:szCs w:val="32"/>
        </w:rPr>
        <w:t>85.19</w:t>
      </w:r>
      <w:r w:rsidR="00D8370F" w:rsidRPr="00AB6173">
        <w:rPr>
          <w:rFonts w:ascii="Times New Roman" w:eastAsia="仿宋_GB2312" w:hAnsi="Times New Roman" w:cs="Times New Roman"/>
          <w:sz w:val="32"/>
          <w:szCs w:val="32"/>
        </w:rPr>
        <w:t>%</w:t>
      </w:r>
      <w:r w:rsidR="00D8370F" w:rsidRPr="00AB617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6272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C5B3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在三家直属法院中排名第</w:t>
      </w:r>
      <w:r w:rsidR="00F4613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</w:t>
      </w:r>
      <w:r w:rsidR="00AC5B3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其中，长春林区中级法院审执结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C20DDC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件，存案未结</w:t>
      </w:r>
      <w:r w:rsidR="00C20DDC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件，存案清结率为</w:t>
      </w:r>
      <w:r w:rsidR="00C20DDC">
        <w:rPr>
          <w:rFonts w:ascii="Times New Roman" w:eastAsia="仿宋_GB2312" w:hAnsi="Times New Roman" w:cs="Times New Roman"/>
          <w:color w:val="000000"/>
          <w:sz w:val="32"/>
          <w:szCs w:val="32"/>
        </w:rPr>
        <w:t>93.75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；白石山林区基层法院审执结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件，存案未结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件，存案清结率为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90.91%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；红石林区基层法院审执结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件，存案未结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件，存案清结率为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83.78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；临江林区基层法院审执结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件，存案未结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件，存案清结率为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0.00%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proofErr w:type="gramStart"/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抚</w:t>
      </w:r>
      <w:proofErr w:type="gramEnd"/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松林区基层法院审执结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11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件，存案未结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件，存案清结率为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78.57%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；江源林区基层法院审执结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件，存案未结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件，存案清结率为</w:t>
      </w:r>
      <w:r w:rsidR="00B757D4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0.00%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。存案清结率由高到低依次是</w:t>
      </w:r>
      <w:r w:rsidR="00B757D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临江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林区基层法院、长春林区中级法院、</w:t>
      </w:r>
      <w:r w:rsidR="00B757D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白石山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林区基层法院、江源林区基层法院、</w:t>
      </w:r>
      <w:r w:rsidR="00B757D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红石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林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区基层法院、</w:t>
      </w:r>
      <w:r w:rsidR="00B757D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抚松</w:t>
      </w:r>
      <w:r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林区基层法院。</w:t>
      </w:r>
    </w:p>
    <w:p w14:paraId="43132DA6" w14:textId="77777777" w:rsidR="00C32151" w:rsidRPr="00790008" w:rsidRDefault="00C32151" w:rsidP="00AB617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9000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四、综合分析</w:t>
      </w:r>
    </w:p>
    <w:p w14:paraId="2969B915" w14:textId="15B4E6DC" w:rsidR="00337D6A" w:rsidRPr="00485EEE" w:rsidRDefault="00337D6A" w:rsidP="00AB6173">
      <w:pPr>
        <w:spacing w:line="57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 w:rsidRPr="00A256F4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（一）结案率方面。</w:t>
      </w:r>
      <w:r w:rsidR="00105783" w:rsidRP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长春林区两级法院</w:t>
      </w:r>
      <w:r w:rsidR="00A256F4" w:rsidRP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结案率高于全省均值，完成了省法院</w:t>
      </w:r>
      <w:r w:rsidR="00A256F4" w:rsidRP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88%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的考核指标，虽然在三家直属法院和全省十二个地区中排名第一，但仅高于长春铁路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0.66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个百分点，高于延边林区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2.17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个百分点，领先</w:t>
      </w:r>
      <w:r w:rsidR="00790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优势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不大。</w:t>
      </w:r>
      <w:r w:rsidR="00A256F4" w:rsidRP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十五家林区、铁路基层法院结案率最高</w:t>
      </w:r>
      <w:r w:rsidR="00A256F4" w:rsidRP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98.97%</w:t>
      </w:r>
      <w:r w:rsidR="00A256F4" w:rsidRP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790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最低</w:t>
      </w:r>
      <w:r w:rsidR="00A256F4" w:rsidRP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88.01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%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，均值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93.35%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，白石山林区基层法院、抚松林区基层法院结案率低于基层法院均值，红石林区基层法院结案率与最高值相差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4.51</w:t>
      </w:r>
      <w:r w:rsidR="00A256F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个百分点，</w:t>
      </w:r>
      <w:r w:rsidR="00790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仍有进一步提升的空间。</w:t>
      </w:r>
    </w:p>
    <w:p w14:paraId="6374A9E9" w14:textId="4F7841D1" w:rsidR="00337D6A" w:rsidRPr="002D491D" w:rsidRDefault="00337D6A" w:rsidP="00B048CC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85EEE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（二）审判质</w:t>
      </w:r>
      <w:proofErr w:type="gramStart"/>
      <w:r w:rsidRPr="00485EEE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效主要</w:t>
      </w:r>
      <w:proofErr w:type="gramEnd"/>
      <w:r w:rsidRPr="00485EEE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指标方面。</w:t>
      </w:r>
      <w:r w:rsidR="00485EEE" w:rsidRPr="00485EE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长春林区两级法院</w:t>
      </w:r>
      <w:r w:rsidR="00485E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审判质</w:t>
      </w:r>
      <w:proofErr w:type="gramStart"/>
      <w:r w:rsidR="00485E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效主要</w:t>
      </w:r>
      <w:proofErr w:type="gramEnd"/>
      <w:r w:rsidR="00485E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指标合计比率在三家直属法院排名第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</w:t>
      </w:r>
      <w:r w:rsidR="00485E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低于</w:t>
      </w:r>
      <w:r w:rsidR="00485E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长春铁路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0.50</w:t>
      </w:r>
      <w:r w:rsidR="00485E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个百分点，高于延边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林区</w:t>
      </w:r>
      <w:r w:rsidR="00B048C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2.62</w:t>
      </w:r>
      <w:r w:rsidR="00485E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个百分点，</w:t>
      </w:r>
      <w:r w:rsidR="00B048C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仍有进一步提升的空间</w:t>
      </w:r>
      <w:r w:rsidR="00485EE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EF206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六个</w:t>
      </w:r>
      <w:r w:rsidR="00485EE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分项指标中，结案率、旧存诉讼案件占比</w:t>
      </w:r>
      <w:r w:rsidR="00B048C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两项指标</w:t>
      </w:r>
      <w:r w:rsidR="00485EE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排名第一</w:t>
      </w:r>
      <w:r w:rsidR="00B048C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；一审案件服判息诉率、生效案件服判息诉率、一审案件被改判发回重审率、简易程序适用率四项指标排名第二。其中，</w:t>
      </w:r>
      <w:r w:rsidR="00EF206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抚松林区基层法院一审案件服判息诉率</w:t>
      </w:r>
      <w:r w:rsidR="00EF206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85.52%</w:t>
      </w:r>
      <w:r w:rsidR="00EF206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，低于年度考核指标，仍需进一步加强</w:t>
      </w:r>
      <w:r w:rsidR="00B048C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  <w:r w:rsidR="00EF206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临江林区基层法院、抚松林区基层法院、江源林区基层法院一审案件被改判发回重审率低于年度考核指标，</w:t>
      </w:r>
      <w:r w:rsidR="002D491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红石林区基层法院简易程序适用率低于十五家林区、铁路基层法院均值，</w:t>
      </w:r>
      <w:r w:rsidR="00EF206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仍需进一步加强。</w:t>
      </w:r>
    </w:p>
    <w:p w14:paraId="1B9696E5" w14:textId="30600653" w:rsidR="00337D6A" w:rsidRDefault="00337D6A" w:rsidP="00AB617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37D6A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（三）存案清理方面。</w:t>
      </w:r>
      <w:r w:rsidRPr="00337D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目前，两级法院存案未结</w:t>
      </w:r>
      <w:r w:rsidRPr="00337D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Pr="00337D6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中长春林区中级法院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件，占比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8.33%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；白石山林区基层法院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件，占比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8.33%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；红石林区基层法院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件，</w:t>
      </w:r>
      <w:r w:rsidR="0010578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占比</w:t>
      </w:r>
      <w:r w:rsidR="0010578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50%</w:t>
      </w:r>
      <w:r w:rsidR="0010578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105783">
        <w:rPr>
          <w:rFonts w:ascii="Times New Roman" w:eastAsia="仿宋_GB2312" w:hAnsi="Times New Roman" w:cs="Times New Roman"/>
          <w:color w:val="000000"/>
          <w:sz w:val="32"/>
          <w:szCs w:val="32"/>
        </w:rPr>
        <w:t>抚松林区基层法院</w:t>
      </w:r>
      <w:r w:rsidR="00105783"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="00105783"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占比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25.01%</w:t>
      </w:r>
      <w:r w:rsidR="00105783"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；江源林区基层法院</w:t>
      </w:r>
      <w:r w:rsidR="0010578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105783" w:rsidRPr="00293524">
        <w:rPr>
          <w:rFonts w:ascii="Times New Roman" w:eastAsia="仿宋_GB2312" w:hAnsi="Times New Roman" w:cs="Times New Roman"/>
          <w:color w:val="000000"/>
          <w:sz w:val="32"/>
          <w:szCs w:val="32"/>
        </w:rPr>
        <w:t>件，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占比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8.33%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，红石林区基层法院、抚松林区基层法院存案清结工作压力相对较大。从立案时间看，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件未结案件中，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2021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月立案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2021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月立案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2021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月立案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2022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月立案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2022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月立案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件，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2022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月立案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件，立案时间均已超过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个月，最长已临近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 w:rsidR="001057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个月。</w:t>
      </w:r>
    </w:p>
    <w:p w14:paraId="038CC39D" w14:textId="77777777" w:rsidR="008F0E94" w:rsidRPr="00337D6A" w:rsidRDefault="008F0E94" w:rsidP="00AB6173">
      <w:pPr>
        <w:spacing w:line="57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</w:p>
    <w:sectPr w:rsidR="008F0E94" w:rsidRPr="00337D6A" w:rsidSect="00D5433F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65926" w14:textId="77777777" w:rsidR="001B2628" w:rsidRDefault="001B2628" w:rsidP="00404236">
      <w:r>
        <w:separator/>
      </w:r>
    </w:p>
  </w:endnote>
  <w:endnote w:type="continuationSeparator" w:id="0">
    <w:p w14:paraId="4B24EB9D" w14:textId="77777777" w:rsidR="001B2628" w:rsidRDefault="001B2628" w:rsidP="004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7485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3512EA29" w14:textId="77777777" w:rsidR="00D5433F" w:rsidRPr="00D5433F" w:rsidRDefault="00D5433F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 w:rsidRPr="00D5433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5433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5433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634F3" w:rsidRPr="00D634F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634F3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D5433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31ADF45F" w14:textId="77777777" w:rsidR="00D5433F" w:rsidRDefault="00D543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15DA" w14:textId="77777777" w:rsidR="001B2628" w:rsidRDefault="001B2628" w:rsidP="00404236">
      <w:r>
        <w:separator/>
      </w:r>
    </w:p>
  </w:footnote>
  <w:footnote w:type="continuationSeparator" w:id="0">
    <w:p w14:paraId="522CBBAC" w14:textId="77777777" w:rsidR="001B2628" w:rsidRDefault="001B2628" w:rsidP="0040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0E"/>
    <w:multiLevelType w:val="hybridMultilevel"/>
    <w:tmpl w:val="FA66B956"/>
    <w:lvl w:ilvl="0" w:tplc="87B221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0B3536"/>
    <w:multiLevelType w:val="hybridMultilevel"/>
    <w:tmpl w:val="13AE8288"/>
    <w:lvl w:ilvl="0" w:tplc="812E31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60C16C6"/>
    <w:multiLevelType w:val="hybridMultilevel"/>
    <w:tmpl w:val="C5C0E2B8"/>
    <w:lvl w:ilvl="0" w:tplc="633C707C">
      <w:start w:val="1"/>
      <w:numFmt w:val="japaneseCounting"/>
      <w:lvlText w:val="%1、"/>
      <w:lvlJc w:val="left"/>
      <w:pPr>
        <w:ind w:left="1360" w:hanging="720"/>
      </w:pPr>
      <w:rPr>
        <w:rFonts w:ascii="楷体" w:eastAsia="楷体" w:hAnsi="楷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FD"/>
    <w:rsid w:val="000060E8"/>
    <w:rsid w:val="00007E49"/>
    <w:rsid w:val="00012E6B"/>
    <w:rsid w:val="00013FAB"/>
    <w:rsid w:val="0002061C"/>
    <w:rsid w:val="000219B4"/>
    <w:rsid w:val="00026B45"/>
    <w:rsid w:val="000276F5"/>
    <w:rsid w:val="000338AF"/>
    <w:rsid w:val="00040B02"/>
    <w:rsid w:val="000500FB"/>
    <w:rsid w:val="00072F27"/>
    <w:rsid w:val="000872D8"/>
    <w:rsid w:val="000914B5"/>
    <w:rsid w:val="000A3F2A"/>
    <w:rsid w:val="000A67AC"/>
    <w:rsid w:val="000C6C48"/>
    <w:rsid w:val="000D3742"/>
    <w:rsid w:val="000D3DA6"/>
    <w:rsid w:val="000D440A"/>
    <w:rsid w:val="000F7CE1"/>
    <w:rsid w:val="00103929"/>
    <w:rsid w:val="00105783"/>
    <w:rsid w:val="0011171D"/>
    <w:rsid w:val="0011643E"/>
    <w:rsid w:val="0011672C"/>
    <w:rsid w:val="00120CA2"/>
    <w:rsid w:val="001240D2"/>
    <w:rsid w:val="001279A5"/>
    <w:rsid w:val="0013382C"/>
    <w:rsid w:val="0013649C"/>
    <w:rsid w:val="00140701"/>
    <w:rsid w:val="00140AFB"/>
    <w:rsid w:val="00142A0F"/>
    <w:rsid w:val="00145CAB"/>
    <w:rsid w:val="00154C27"/>
    <w:rsid w:val="0015758C"/>
    <w:rsid w:val="0016222A"/>
    <w:rsid w:val="00167FA1"/>
    <w:rsid w:val="00175AC8"/>
    <w:rsid w:val="001921C0"/>
    <w:rsid w:val="00193685"/>
    <w:rsid w:val="00193FF4"/>
    <w:rsid w:val="001951A6"/>
    <w:rsid w:val="001B2628"/>
    <w:rsid w:val="001C1E2F"/>
    <w:rsid w:val="001C394F"/>
    <w:rsid w:val="001C6BD2"/>
    <w:rsid w:val="001D281C"/>
    <w:rsid w:val="001D2F2F"/>
    <w:rsid w:val="001D6405"/>
    <w:rsid w:val="001E174E"/>
    <w:rsid w:val="001E2512"/>
    <w:rsid w:val="001E5CFB"/>
    <w:rsid w:val="001E6E0F"/>
    <w:rsid w:val="001F294A"/>
    <w:rsid w:val="001F3BBC"/>
    <w:rsid w:val="00201973"/>
    <w:rsid w:val="002040FB"/>
    <w:rsid w:val="00205905"/>
    <w:rsid w:val="00206932"/>
    <w:rsid w:val="00210513"/>
    <w:rsid w:val="00233C4B"/>
    <w:rsid w:val="00240052"/>
    <w:rsid w:val="002428EE"/>
    <w:rsid w:val="00242BFD"/>
    <w:rsid w:val="00245DE0"/>
    <w:rsid w:val="00247E12"/>
    <w:rsid w:val="00255568"/>
    <w:rsid w:val="0025571C"/>
    <w:rsid w:val="00257AA3"/>
    <w:rsid w:val="00264E19"/>
    <w:rsid w:val="002669A4"/>
    <w:rsid w:val="002827E8"/>
    <w:rsid w:val="00293524"/>
    <w:rsid w:val="00293999"/>
    <w:rsid w:val="0029574F"/>
    <w:rsid w:val="002B0640"/>
    <w:rsid w:val="002B2F0B"/>
    <w:rsid w:val="002B365F"/>
    <w:rsid w:val="002B6F53"/>
    <w:rsid w:val="002C12DF"/>
    <w:rsid w:val="002C3007"/>
    <w:rsid w:val="002D491D"/>
    <w:rsid w:val="002D4A3D"/>
    <w:rsid w:val="002E3105"/>
    <w:rsid w:val="002E7195"/>
    <w:rsid w:val="002F1C9A"/>
    <w:rsid w:val="002F42E0"/>
    <w:rsid w:val="002F6D88"/>
    <w:rsid w:val="0030215B"/>
    <w:rsid w:val="00304544"/>
    <w:rsid w:val="00310682"/>
    <w:rsid w:val="0032289F"/>
    <w:rsid w:val="003271A9"/>
    <w:rsid w:val="00336901"/>
    <w:rsid w:val="00337D6A"/>
    <w:rsid w:val="00344C04"/>
    <w:rsid w:val="00350488"/>
    <w:rsid w:val="00351565"/>
    <w:rsid w:val="00360930"/>
    <w:rsid w:val="0036183E"/>
    <w:rsid w:val="0036634E"/>
    <w:rsid w:val="00370BBB"/>
    <w:rsid w:val="00380078"/>
    <w:rsid w:val="003901FC"/>
    <w:rsid w:val="00391279"/>
    <w:rsid w:val="00392316"/>
    <w:rsid w:val="003A733E"/>
    <w:rsid w:val="003B2063"/>
    <w:rsid w:val="003B744A"/>
    <w:rsid w:val="003B7AB4"/>
    <w:rsid w:val="003C3234"/>
    <w:rsid w:val="003C6DF8"/>
    <w:rsid w:val="003C7EA1"/>
    <w:rsid w:val="003D1A6A"/>
    <w:rsid w:val="003E2A20"/>
    <w:rsid w:val="003E53C0"/>
    <w:rsid w:val="00404228"/>
    <w:rsid w:val="00404236"/>
    <w:rsid w:val="00404615"/>
    <w:rsid w:val="00421E33"/>
    <w:rsid w:val="004260A7"/>
    <w:rsid w:val="00433172"/>
    <w:rsid w:val="00446816"/>
    <w:rsid w:val="00454247"/>
    <w:rsid w:val="004553BC"/>
    <w:rsid w:val="00461B8F"/>
    <w:rsid w:val="00463CFA"/>
    <w:rsid w:val="00470EE8"/>
    <w:rsid w:val="00485EEE"/>
    <w:rsid w:val="00490738"/>
    <w:rsid w:val="0049414D"/>
    <w:rsid w:val="00495FD7"/>
    <w:rsid w:val="004A5F95"/>
    <w:rsid w:val="004B0C5F"/>
    <w:rsid w:val="004B49E4"/>
    <w:rsid w:val="004B4F17"/>
    <w:rsid w:val="004B7315"/>
    <w:rsid w:val="004C7249"/>
    <w:rsid w:val="004D2458"/>
    <w:rsid w:val="004D3FAE"/>
    <w:rsid w:val="004E1480"/>
    <w:rsid w:val="004E6E8D"/>
    <w:rsid w:val="0050313D"/>
    <w:rsid w:val="00504ADB"/>
    <w:rsid w:val="00513C3D"/>
    <w:rsid w:val="00524628"/>
    <w:rsid w:val="00526525"/>
    <w:rsid w:val="00551900"/>
    <w:rsid w:val="00573784"/>
    <w:rsid w:val="005739AE"/>
    <w:rsid w:val="005766A7"/>
    <w:rsid w:val="00580F57"/>
    <w:rsid w:val="0058741A"/>
    <w:rsid w:val="005A38B3"/>
    <w:rsid w:val="005A5084"/>
    <w:rsid w:val="005A5927"/>
    <w:rsid w:val="005A741F"/>
    <w:rsid w:val="005C3882"/>
    <w:rsid w:val="005C6DDF"/>
    <w:rsid w:val="005D40EA"/>
    <w:rsid w:val="005D49F5"/>
    <w:rsid w:val="005D53D1"/>
    <w:rsid w:val="005D5EB8"/>
    <w:rsid w:val="005F267C"/>
    <w:rsid w:val="005F6787"/>
    <w:rsid w:val="005F6C1B"/>
    <w:rsid w:val="00600DFF"/>
    <w:rsid w:val="006020C7"/>
    <w:rsid w:val="00615E9A"/>
    <w:rsid w:val="0062150A"/>
    <w:rsid w:val="00623AA2"/>
    <w:rsid w:val="006272CA"/>
    <w:rsid w:val="006311BA"/>
    <w:rsid w:val="00653B52"/>
    <w:rsid w:val="00671100"/>
    <w:rsid w:val="006801DC"/>
    <w:rsid w:val="00680EA7"/>
    <w:rsid w:val="00687183"/>
    <w:rsid w:val="00695B5D"/>
    <w:rsid w:val="006A58E8"/>
    <w:rsid w:val="006A6897"/>
    <w:rsid w:val="006B1999"/>
    <w:rsid w:val="006B2EB9"/>
    <w:rsid w:val="006B6D28"/>
    <w:rsid w:val="006C2927"/>
    <w:rsid w:val="006D64A3"/>
    <w:rsid w:val="006E0A17"/>
    <w:rsid w:val="006E65F1"/>
    <w:rsid w:val="006F36E1"/>
    <w:rsid w:val="0070061A"/>
    <w:rsid w:val="007034D6"/>
    <w:rsid w:val="00720FE5"/>
    <w:rsid w:val="007217F3"/>
    <w:rsid w:val="007403F8"/>
    <w:rsid w:val="00752C02"/>
    <w:rsid w:val="00755734"/>
    <w:rsid w:val="00755FAE"/>
    <w:rsid w:val="0076124D"/>
    <w:rsid w:val="00767110"/>
    <w:rsid w:val="00775433"/>
    <w:rsid w:val="00777EB5"/>
    <w:rsid w:val="00781642"/>
    <w:rsid w:val="00790008"/>
    <w:rsid w:val="00797622"/>
    <w:rsid w:val="007A1D2C"/>
    <w:rsid w:val="007A29D8"/>
    <w:rsid w:val="007A78E5"/>
    <w:rsid w:val="007B0330"/>
    <w:rsid w:val="007D592D"/>
    <w:rsid w:val="007D74C5"/>
    <w:rsid w:val="007E324A"/>
    <w:rsid w:val="007E3B5B"/>
    <w:rsid w:val="007E53A6"/>
    <w:rsid w:val="007F7472"/>
    <w:rsid w:val="00804D68"/>
    <w:rsid w:val="00804DE3"/>
    <w:rsid w:val="008125FB"/>
    <w:rsid w:val="008132A5"/>
    <w:rsid w:val="0081574C"/>
    <w:rsid w:val="00821DB1"/>
    <w:rsid w:val="00827DA8"/>
    <w:rsid w:val="00830941"/>
    <w:rsid w:val="0083368F"/>
    <w:rsid w:val="00833C8E"/>
    <w:rsid w:val="00840C9F"/>
    <w:rsid w:val="00844023"/>
    <w:rsid w:val="00883F21"/>
    <w:rsid w:val="00890E25"/>
    <w:rsid w:val="0089312B"/>
    <w:rsid w:val="00893F7A"/>
    <w:rsid w:val="008A3922"/>
    <w:rsid w:val="008A610F"/>
    <w:rsid w:val="008A7B90"/>
    <w:rsid w:val="008C556E"/>
    <w:rsid w:val="008C6940"/>
    <w:rsid w:val="008C751B"/>
    <w:rsid w:val="008D30D7"/>
    <w:rsid w:val="008D6E84"/>
    <w:rsid w:val="008E5CB6"/>
    <w:rsid w:val="008E7184"/>
    <w:rsid w:val="008F0E94"/>
    <w:rsid w:val="008F3CEA"/>
    <w:rsid w:val="008F44AE"/>
    <w:rsid w:val="008F7A96"/>
    <w:rsid w:val="00900E43"/>
    <w:rsid w:val="009123D1"/>
    <w:rsid w:val="00915F74"/>
    <w:rsid w:val="00922B1E"/>
    <w:rsid w:val="0093381C"/>
    <w:rsid w:val="009420CE"/>
    <w:rsid w:val="00952708"/>
    <w:rsid w:val="0096125B"/>
    <w:rsid w:val="00963870"/>
    <w:rsid w:val="009873BA"/>
    <w:rsid w:val="009A25F1"/>
    <w:rsid w:val="009A28B2"/>
    <w:rsid w:val="009C13D7"/>
    <w:rsid w:val="009C2C4A"/>
    <w:rsid w:val="009C701C"/>
    <w:rsid w:val="009D54FE"/>
    <w:rsid w:val="009F632E"/>
    <w:rsid w:val="009F71FA"/>
    <w:rsid w:val="00A11D5C"/>
    <w:rsid w:val="00A200D5"/>
    <w:rsid w:val="00A256F4"/>
    <w:rsid w:val="00A3652F"/>
    <w:rsid w:val="00A55B86"/>
    <w:rsid w:val="00A57932"/>
    <w:rsid w:val="00A65124"/>
    <w:rsid w:val="00A65930"/>
    <w:rsid w:val="00A82673"/>
    <w:rsid w:val="00A84B34"/>
    <w:rsid w:val="00A9183F"/>
    <w:rsid w:val="00AA000B"/>
    <w:rsid w:val="00AA4B0F"/>
    <w:rsid w:val="00AB0A52"/>
    <w:rsid w:val="00AB1C81"/>
    <w:rsid w:val="00AB3F09"/>
    <w:rsid w:val="00AB5F89"/>
    <w:rsid w:val="00AB6173"/>
    <w:rsid w:val="00AC00E5"/>
    <w:rsid w:val="00AC3D94"/>
    <w:rsid w:val="00AC475F"/>
    <w:rsid w:val="00AC5B3C"/>
    <w:rsid w:val="00AD4400"/>
    <w:rsid w:val="00AF3E9F"/>
    <w:rsid w:val="00AF53DF"/>
    <w:rsid w:val="00B0379B"/>
    <w:rsid w:val="00B048CC"/>
    <w:rsid w:val="00B10BF1"/>
    <w:rsid w:val="00B11062"/>
    <w:rsid w:val="00B17FAF"/>
    <w:rsid w:val="00B262ED"/>
    <w:rsid w:val="00B319CE"/>
    <w:rsid w:val="00B353F9"/>
    <w:rsid w:val="00B36326"/>
    <w:rsid w:val="00B40454"/>
    <w:rsid w:val="00B421B7"/>
    <w:rsid w:val="00B42357"/>
    <w:rsid w:val="00B42A34"/>
    <w:rsid w:val="00B50874"/>
    <w:rsid w:val="00B64CB0"/>
    <w:rsid w:val="00B740DF"/>
    <w:rsid w:val="00B757D4"/>
    <w:rsid w:val="00B82E7D"/>
    <w:rsid w:val="00B85474"/>
    <w:rsid w:val="00B93C2A"/>
    <w:rsid w:val="00B958DB"/>
    <w:rsid w:val="00B9650F"/>
    <w:rsid w:val="00BA7977"/>
    <w:rsid w:val="00BB0D0D"/>
    <w:rsid w:val="00BB14B8"/>
    <w:rsid w:val="00BC64BA"/>
    <w:rsid w:val="00BC6CD4"/>
    <w:rsid w:val="00BE1197"/>
    <w:rsid w:val="00BE1B34"/>
    <w:rsid w:val="00BE3D6E"/>
    <w:rsid w:val="00BE795C"/>
    <w:rsid w:val="00BF6717"/>
    <w:rsid w:val="00C049FF"/>
    <w:rsid w:val="00C05211"/>
    <w:rsid w:val="00C062B9"/>
    <w:rsid w:val="00C12F66"/>
    <w:rsid w:val="00C152C0"/>
    <w:rsid w:val="00C1609F"/>
    <w:rsid w:val="00C20DDC"/>
    <w:rsid w:val="00C26840"/>
    <w:rsid w:val="00C32151"/>
    <w:rsid w:val="00C35E53"/>
    <w:rsid w:val="00C42D88"/>
    <w:rsid w:val="00C550C3"/>
    <w:rsid w:val="00C90C58"/>
    <w:rsid w:val="00C92CCA"/>
    <w:rsid w:val="00C97AAD"/>
    <w:rsid w:val="00CB648B"/>
    <w:rsid w:val="00CD4EBC"/>
    <w:rsid w:val="00CE5CDD"/>
    <w:rsid w:val="00CF5B02"/>
    <w:rsid w:val="00CF6885"/>
    <w:rsid w:val="00D02827"/>
    <w:rsid w:val="00D0602B"/>
    <w:rsid w:val="00D07689"/>
    <w:rsid w:val="00D146EB"/>
    <w:rsid w:val="00D151F7"/>
    <w:rsid w:val="00D20DD1"/>
    <w:rsid w:val="00D27303"/>
    <w:rsid w:val="00D33153"/>
    <w:rsid w:val="00D336D2"/>
    <w:rsid w:val="00D40897"/>
    <w:rsid w:val="00D43ABD"/>
    <w:rsid w:val="00D43BA3"/>
    <w:rsid w:val="00D5433F"/>
    <w:rsid w:val="00D62720"/>
    <w:rsid w:val="00D634F3"/>
    <w:rsid w:val="00D71211"/>
    <w:rsid w:val="00D741A7"/>
    <w:rsid w:val="00D8071D"/>
    <w:rsid w:val="00D8370F"/>
    <w:rsid w:val="00DA1C9D"/>
    <w:rsid w:val="00DA4A02"/>
    <w:rsid w:val="00DA6017"/>
    <w:rsid w:val="00DB19A4"/>
    <w:rsid w:val="00DC0F67"/>
    <w:rsid w:val="00DC3391"/>
    <w:rsid w:val="00DD3F50"/>
    <w:rsid w:val="00DE52F4"/>
    <w:rsid w:val="00DE6722"/>
    <w:rsid w:val="00DF08F7"/>
    <w:rsid w:val="00DF295C"/>
    <w:rsid w:val="00DF316C"/>
    <w:rsid w:val="00DF5A28"/>
    <w:rsid w:val="00E0521C"/>
    <w:rsid w:val="00E054A1"/>
    <w:rsid w:val="00E10034"/>
    <w:rsid w:val="00E230AC"/>
    <w:rsid w:val="00E261AE"/>
    <w:rsid w:val="00E417C9"/>
    <w:rsid w:val="00E47912"/>
    <w:rsid w:val="00E50FD8"/>
    <w:rsid w:val="00E56316"/>
    <w:rsid w:val="00E70419"/>
    <w:rsid w:val="00E7446A"/>
    <w:rsid w:val="00E851E0"/>
    <w:rsid w:val="00E901D2"/>
    <w:rsid w:val="00E9738B"/>
    <w:rsid w:val="00EB51FD"/>
    <w:rsid w:val="00ED0610"/>
    <w:rsid w:val="00ED290E"/>
    <w:rsid w:val="00ED2CC9"/>
    <w:rsid w:val="00EE0532"/>
    <w:rsid w:val="00EF1823"/>
    <w:rsid w:val="00EF2060"/>
    <w:rsid w:val="00EF7B33"/>
    <w:rsid w:val="00F04F2A"/>
    <w:rsid w:val="00F20A1E"/>
    <w:rsid w:val="00F24052"/>
    <w:rsid w:val="00F32881"/>
    <w:rsid w:val="00F358E8"/>
    <w:rsid w:val="00F4000B"/>
    <w:rsid w:val="00F40B97"/>
    <w:rsid w:val="00F450BA"/>
    <w:rsid w:val="00F46133"/>
    <w:rsid w:val="00F542C7"/>
    <w:rsid w:val="00F61D8B"/>
    <w:rsid w:val="00F62FAC"/>
    <w:rsid w:val="00F730E7"/>
    <w:rsid w:val="00F74DD3"/>
    <w:rsid w:val="00F80276"/>
    <w:rsid w:val="00F864CB"/>
    <w:rsid w:val="00FA6C5A"/>
    <w:rsid w:val="00FC5212"/>
    <w:rsid w:val="00FD2613"/>
    <w:rsid w:val="00FD2A43"/>
    <w:rsid w:val="00FD30A2"/>
    <w:rsid w:val="00FD432E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3B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36"/>
    <w:rPr>
      <w:sz w:val="18"/>
      <w:szCs w:val="18"/>
    </w:rPr>
  </w:style>
  <w:style w:type="paragraph" w:styleId="a5">
    <w:name w:val="List Paragraph"/>
    <w:basedOn w:val="a"/>
    <w:uiPriority w:val="34"/>
    <w:qFormat/>
    <w:rsid w:val="0040423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7D5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E5C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5C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36"/>
    <w:rPr>
      <w:sz w:val="18"/>
      <w:szCs w:val="18"/>
    </w:rPr>
  </w:style>
  <w:style w:type="paragraph" w:styleId="a5">
    <w:name w:val="List Paragraph"/>
    <w:basedOn w:val="a"/>
    <w:uiPriority w:val="34"/>
    <w:qFormat/>
    <w:rsid w:val="0040423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7D5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E5C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5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2802</Characters>
  <Application>Microsoft Office Word</Application>
  <DocSecurity>0</DocSecurity>
  <Lines>23</Lines>
  <Paragraphs>6</Paragraphs>
  <ScaleCrop>false</ScaleCrop>
  <Company>China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Sky</cp:lastModifiedBy>
  <cp:revision>2</cp:revision>
  <cp:lastPrinted>2022-09-06T02:21:00Z</cp:lastPrinted>
  <dcterms:created xsi:type="dcterms:W3CDTF">2022-10-08T05:48:00Z</dcterms:created>
  <dcterms:modified xsi:type="dcterms:W3CDTF">2022-10-08T05:48:00Z</dcterms:modified>
</cp:coreProperties>
</file>