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完善工作机制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持续跟踪问效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——长春林区中级法院“</w:t>
      </w: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  <w:lang w:eastAsia="zh-CN"/>
        </w:rPr>
        <w:t>1+2+3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”工作模式扎实推进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营商法治环境建设常态化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6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为有效解决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两级法院营商法治环境工作存在碎片化和实际效果不佳的问题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，长春林区中级法院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通过到各基层法院开展调研，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分析研判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营商法治环境常态化推进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突破路径，在两级法院推行“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1+2+3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”工作模式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持续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抓落实和提效果上下功夫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6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”是送交致企业一封信。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为切实了解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企业需求，长春林区中级法院向辖区企业送交了《吉林省长春林区中级法院致辖区企业的一封信》。信中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作出了完善制度保障、助力营商环境建设，聚焦审执主业、高效化解商事纠纷，延伸司法服务、积极回应企业需求，切实加强宣传、努力营造助企氛围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项承诺，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附有两级法院优化营商环境工作联系方式，进一步畅通法院和企业的沟通渠道，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建立亲清坦诚、彼此信任的良好工作关系。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6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是建立“法院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+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国有企业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当地商会”模式。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长春林区各基层法院</w:t>
      </w:r>
      <w:r>
        <w:rPr>
          <w:rFonts w:hint="eastAsia" w:ascii="华文仿宋" w:hAnsi="华文仿宋" w:eastAsia="华文仿宋"/>
          <w:sz w:val="32"/>
          <w:szCs w:val="32"/>
        </w:rPr>
        <w:t>积极拓展府院联动工作机制的内涵和外延，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在府院联动框架下，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通过联席会议制度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与国有企业和当地商会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建立有效对接，形成联发文件或联席会议纪要，确定沟通联络长效机制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。截至目前，两级法院围绕优化营商环境等议题研究府院联动事项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项，联合制定文件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6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是围绕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企业经营管理、法律维权以及新政策法规普及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个方面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提供及时司法服务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通过与辖区企业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建立定期座谈回访制度，确定日常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定期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联系沟通频率，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持续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开展互动交流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。白石山林区基层法院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每月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日与辖区重点企业召开碰头会，江源林区基层法院编辑印制了“送法进企业”法律服务指南，临江林区基层法院举办了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企业经营管理层法律培训班。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年初以来，两级法院共进企业服务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26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次，解答法律问题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200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余个，倾心倾力倾情为企业纾困解忧。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6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法院在优化营商环境中承担着重要职责使命，特别是在推进法治化营商环境中发挥着主力军作用。今年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以来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吉林省长春林区中级法院先后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制定下发了《关于持续推进法治化营商环境建设的实施意见》《关于常态化开展优化营商法治环境工作的七项措施》，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下一步，两级法院将继续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把优化营商法治环境作为一项政治性、全局性、常态化的工作抓牢做实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为长春林区经济发展、社会稳定提供强有力的司法保障。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6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41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FAD5A"/>
    <w:rsid w:val="3EAB0813"/>
    <w:rsid w:val="46FF0194"/>
    <w:rsid w:val="58DF397C"/>
    <w:rsid w:val="6FE37ADD"/>
    <w:rsid w:val="7CFF683D"/>
    <w:rsid w:val="9EBF95E4"/>
    <w:rsid w:val="F96F3420"/>
    <w:rsid w:val="FFBDCE8C"/>
    <w:rsid w:val="FFDDD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ly03</cp:lastModifiedBy>
  <dcterms:modified xsi:type="dcterms:W3CDTF">2022-11-21T13:57:15Z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